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8" w:rsidRPr="00DF0958" w:rsidRDefault="00DF0958" w:rsidP="00DF0958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DF0958">
        <w:rPr>
          <w:rFonts w:eastAsiaTheme="minorEastAsia"/>
          <w:b/>
          <w:bCs/>
          <w:sz w:val="28"/>
          <w:szCs w:val="28"/>
        </w:rPr>
        <w:t>Poptávkové řízení na</w:t>
      </w:r>
      <w:r w:rsidR="00FE73FE">
        <w:rPr>
          <w:rFonts w:eastAsiaTheme="minor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F0958">
        <w:rPr>
          <w:rFonts w:eastAsiaTheme="minorEastAsia"/>
          <w:b/>
          <w:bCs/>
          <w:sz w:val="28"/>
          <w:szCs w:val="28"/>
        </w:rPr>
        <w:t xml:space="preserve"> poskytnutí </w:t>
      </w:r>
      <w:r w:rsidRPr="00DF0958">
        <w:rPr>
          <w:rFonts w:eastAsiaTheme="minorEastAsia"/>
          <w:b/>
          <w:bCs/>
          <w:sz w:val="28"/>
          <w:szCs w:val="28"/>
        </w:rPr>
        <w:t xml:space="preserve"> </w:t>
      </w:r>
      <w:r w:rsidR="009B43B2">
        <w:rPr>
          <w:rFonts w:eastAsiaTheme="minorEastAsia"/>
          <w:b/>
          <w:bCs/>
          <w:sz w:val="28"/>
          <w:szCs w:val="28"/>
        </w:rPr>
        <w:t xml:space="preserve">služeb  zpracování </w:t>
      </w:r>
      <w:r w:rsidRPr="00DF0958">
        <w:rPr>
          <w:rFonts w:eastAsiaTheme="minorEastAsia"/>
          <w:b/>
          <w:bCs/>
          <w:sz w:val="28"/>
          <w:szCs w:val="28"/>
        </w:rPr>
        <w:t>auditu projektů Ministerstva vnitra</w:t>
      </w:r>
    </w:p>
    <w:p w:rsidR="00DF0958" w:rsidRPr="00DF0958" w:rsidRDefault="00DF0958" w:rsidP="00DF0958">
      <w:pPr>
        <w:spacing w:line="240" w:lineRule="auto"/>
        <w:rPr>
          <w:rFonts w:eastAsiaTheme="minorEastAsia"/>
          <w:sz w:val="28"/>
          <w:szCs w:val="28"/>
        </w:rPr>
      </w:pPr>
      <w:r w:rsidRPr="00DF0958">
        <w:rPr>
          <w:sz w:val="28"/>
          <w:szCs w:val="28"/>
        </w:rPr>
        <w:br/>
      </w:r>
    </w:p>
    <w:p w:rsidR="00DF0958" w:rsidRPr="00DF0958" w:rsidRDefault="00DF0958" w:rsidP="00DF0958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DF0958">
        <w:rPr>
          <w:rFonts w:eastAsiaTheme="minorEastAsia"/>
          <w:b/>
          <w:bCs/>
          <w:sz w:val="28"/>
          <w:szCs w:val="28"/>
        </w:rPr>
        <w:t>Předmět poptávky:</w:t>
      </w:r>
    </w:p>
    <w:p w:rsidR="009E5029" w:rsidRDefault="00DF0958" w:rsidP="00DF095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F0958">
        <w:rPr>
          <w:rFonts w:eastAsiaTheme="minorEastAsia"/>
          <w:sz w:val="28"/>
          <w:szCs w:val="28"/>
        </w:rPr>
        <w:t>Audit</w:t>
      </w:r>
      <w:r>
        <w:rPr>
          <w:rFonts w:eastAsiaTheme="minorEastAsia"/>
          <w:sz w:val="28"/>
          <w:szCs w:val="28"/>
        </w:rPr>
        <w:t>y</w:t>
      </w:r>
      <w:r w:rsidRPr="00DF0958">
        <w:rPr>
          <w:rFonts w:eastAsiaTheme="minorEastAsia"/>
          <w:sz w:val="28"/>
          <w:szCs w:val="28"/>
        </w:rPr>
        <w:t xml:space="preserve"> projekt</w:t>
      </w:r>
      <w:r>
        <w:rPr>
          <w:rFonts w:eastAsiaTheme="minorEastAsia"/>
          <w:sz w:val="28"/>
          <w:szCs w:val="28"/>
        </w:rPr>
        <w:t>ů</w:t>
      </w:r>
      <w:r w:rsidRPr="00DF0958">
        <w:rPr>
          <w:rFonts w:eastAsiaTheme="minorEastAsia"/>
          <w:sz w:val="28"/>
          <w:szCs w:val="28"/>
        </w:rPr>
        <w:t xml:space="preserve"> </w:t>
      </w:r>
      <w:r w:rsidRPr="00DF0958">
        <w:rPr>
          <w:rFonts w:cs="Arial-BoldMT"/>
          <w:bCs/>
          <w:sz w:val="28"/>
          <w:szCs w:val="28"/>
        </w:rPr>
        <w:t>„Stanovení metod hodnocení městského klimatu, zvláště tepelného ostrova, určení postupů a návrh opatření pro omezení negativních dopadů meteorologických extrémů na obyvatele a životní prostředí, zejména ve velkých městských aglomeracích“ a „Hydrometeorologická rizika v České</w:t>
      </w:r>
      <w:r w:rsidRPr="00DF0958">
        <w:rPr>
          <w:rFonts w:cs="Arial-BoldMT"/>
          <w:bCs/>
          <w:sz w:val="28"/>
          <w:szCs w:val="28"/>
        </w:rPr>
        <w:t xml:space="preserve"> republice</w:t>
      </w:r>
      <w:r w:rsidRPr="00DF0958">
        <w:rPr>
          <w:rFonts w:cs="Arial-BoldMT"/>
          <w:bCs/>
          <w:sz w:val="28"/>
          <w:szCs w:val="28"/>
        </w:rPr>
        <w:t>- změny rizik a zlepšení jejich predikcí“</w:t>
      </w:r>
      <w:r w:rsidRPr="00DF0958">
        <w:rPr>
          <w:rFonts w:cs="Arial-BoldMT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řešených Českým hydrometeorologickým ústavem a dalšími příjemci projektu.</w:t>
      </w:r>
      <w:r w:rsidRPr="00DF0958">
        <w:rPr>
          <w:sz w:val="28"/>
          <w:szCs w:val="28"/>
        </w:rPr>
        <w:t xml:space="preserve"> </w:t>
      </w:r>
    </w:p>
    <w:p w:rsidR="00DF0958" w:rsidRDefault="00DF0958" w:rsidP="00DF0958">
      <w:pPr>
        <w:spacing w:line="240" w:lineRule="auto"/>
        <w:rPr>
          <w:rFonts w:eastAsiaTheme="minorEastAsia"/>
          <w:b/>
          <w:bCs/>
          <w:sz w:val="28"/>
          <w:szCs w:val="28"/>
        </w:rPr>
      </w:pPr>
    </w:p>
    <w:p w:rsidR="00DF0958" w:rsidRDefault="00DF0958" w:rsidP="00DF0958">
      <w:pPr>
        <w:spacing w:line="240" w:lineRule="auto"/>
        <w:rPr>
          <w:rFonts w:eastAsiaTheme="minorEastAsia"/>
          <w:sz w:val="24"/>
          <w:szCs w:val="24"/>
        </w:rPr>
      </w:pPr>
      <w:r>
        <w:br/>
      </w:r>
      <w:r>
        <w:rPr>
          <w:rFonts w:eastAsiaTheme="minorEastAsia"/>
          <w:sz w:val="24"/>
          <w:szCs w:val="24"/>
        </w:rPr>
        <w:t xml:space="preserve">Viz smlouvy </w:t>
      </w:r>
    </w:p>
    <w:p w:rsidR="00DF0958" w:rsidRDefault="00DF0958" w:rsidP="00DF0958">
      <w:pPr>
        <w:spacing w:line="240" w:lineRule="auto"/>
        <w:rPr>
          <w:rFonts w:eastAsiaTheme="minorEastAsia"/>
          <w:sz w:val="24"/>
          <w:szCs w:val="24"/>
        </w:rPr>
      </w:pPr>
      <w:hyperlink r:id="rId6" w:history="1">
        <w:r w:rsidRPr="008F0718">
          <w:rPr>
            <w:rStyle w:val="Hypertextovodkaz"/>
            <w:rFonts w:eastAsiaTheme="minorEastAsia"/>
            <w:sz w:val="24"/>
            <w:szCs w:val="24"/>
          </w:rPr>
          <w:t>https://smlouvy.gov.cz/smlouva/9489999?backlink=t4bbk</w:t>
        </w:r>
      </w:hyperlink>
    </w:p>
    <w:p w:rsidR="00DF0958" w:rsidRDefault="00DF0958" w:rsidP="00DF0958">
      <w:pPr>
        <w:spacing w:line="240" w:lineRule="auto"/>
        <w:rPr>
          <w:rFonts w:eastAsiaTheme="minorEastAsia"/>
          <w:sz w:val="24"/>
          <w:szCs w:val="24"/>
        </w:rPr>
      </w:pPr>
      <w:hyperlink r:id="rId7" w:history="1">
        <w:r w:rsidRPr="008F0718">
          <w:rPr>
            <w:rStyle w:val="Hypertextovodkaz"/>
            <w:rFonts w:eastAsiaTheme="minorEastAsia"/>
            <w:sz w:val="24"/>
            <w:szCs w:val="24"/>
          </w:rPr>
          <w:t>https://smlouvy.gov.cz/smlouva/13235016?backlink=juhvl</w:t>
        </w:r>
      </w:hyperlink>
    </w:p>
    <w:p w:rsidR="00DF0958" w:rsidRDefault="00DF0958" w:rsidP="00DF0958">
      <w:pPr>
        <w:spacing w:line="240" w:lineRule="auto"/>
        <w:rPr>
          <w:rFonts w:eastAsiaTheme="minorEastAsia"/>
          <w:sz w:val="24"/>
          <w:szCs w:val="24"/>
        </w:rPr>
      </w:pPr>
    </w:p>
    <w:p w:rsidR="00DF0958" w:rsidRDefault="00DF0958" w:rsidP="00DF0958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DF0958">
        <w:rPr>
          <w:rFonts w:eastAsiaTheme="minorEastAsia"/>
          <w:b/>
          <w:bCs/>
          <w:sz w:val="28"/>
          <w:szCs w:val="28"/>
        </w:rPr>
        <w:t>Předmět auditu:</w:t>
      </w:r>
    </w:p>
    <w:p w:rsidR="00DF0958" w:rsidRDefault="00DF0958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r w:rsidRPr="00DF0958">
        <w:rPr>
          <w:rFonts w:cs="Arial-BoldMT"/>
          <w:bCs/>
          <w:sz w:val="28"/>
          <w:szCs w:val="28"/>
        </w:rPr>
        <w:t>Příjemce má povinnost provést audit celého Projektu. Auditorskou zprávu předloží</w:t>
      </w:r>
      <w:r>
        <w:rPr>
          <w:rFonts w:cs="Arial-BoldMT"/>
          <w:bCs/>
          <w:sz w:val="28"/>
          <w:szCs w:val="28"/>
        </w:rPr>
        <w:t xml:space="preserve"> </w:t>
      </w:r>
      <w:r w:rsidRPr="00DF0958">
        <w:rPr>
          <w:rFonts w:cs="Arial-BoldMT"/>
          <w:bCs/>
          <w:sz w:val="28"/>
          <w:szCs w:val="28"/>
        </w:rPr>
        <w:t>příjemce poskytovateli spolu se závěrečným vyúčtováním Projektu. Audit se týká vš</w:t>
      </w:r>
      <w:r>
        <w:rPr>
          <w:rFonts w:cs="Arial-BoldMT"/>
          <w:bCs/>
          <w:sz w:val="28"/>
          <w:szCs w:val="28"/>
        </w:rPr>
        <w:t xml:space="preserve">ech </w:t>
      </w:r>
      <w:r w:rsidRPr="00DF0958">
        <w:rPr>
          <w:rFonts w:cs="Arial-BoldMT"/>
          <w:bCs/>
          <w:sz w:val="28"/>
          <w:szCs w:val="28"/>
        </w:rPr>
        <w:t>nákladů Projektu. Do uznaných nákladů lze zahrnout pouze náklady na provedení</w:t>
      </w:r>
      <w:r>
        <w:rPr>
          <w:rFonts w:cs="Arial-BoldMT"/>
          <w:bCs/>
          <w:sz w:val="28"/>
          <w:szCs w:val="28"/>
        </w:rPr>
        <w:t xml:space="preserve"> auditu </w:t>
      </w:r>
      <w:r w:rsidRPr="00DF0958">
        <w:rPr>
          <w:rFonts w:cs="Arial-BoldMT"/>
          <w:bCs/>
          <w:sz w:val="28"/>
          <w:szCs w:val="28"/>
        </w:rPr>
        <w:t>v závislosti na době realizace a účetní náročnosti Projektu až do výše 100 000,- Kč.</w:t>
      </w:r>
    </w:p>
    <w:p w:rsidR="00DF0958" w:rsidRDefault="00DF0958" w:rsidP="00DF0958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:rsidR="00DF0958" w:rsidRDefault="00DF0958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  <w:r w:rsidRPr="00DF0958">
        <w:rPr>
          <w:rFonts w:cs="Arial-BoldMT"/>
          <w:bCs/>
          <w:sz w:val="28"/>
          <w:szCs w:val="28"/>
        </w:rPr>
        <w:t>Každý projekt bude auditován zvlášť, tj. také případná smlouva</w:t>
      </w:r>
      <w:r>
        <w:rPr>
          <w:rFonts w:cs="Arial-BoldMT"/>
          <w:bCs/>
          <w:sz w:val="28"/>
          <w:szCs w:val="28"/>
        </w:rPr>
        <w:t xml:space="preserve"> nebo objednávka</w:t>
      </w:r>
      <w:r w:rsidRPr="00DF0958">
        <w:rPr>
          <w:rFonts w:cs="Arial-BoldMT"/>
          <w:bCs/>
          <w:sz w:val="28"/>
          <w:szCs w:val="28"/>
        </w:rPr>
        <w:t xml:space="preserve"> na provedení auditu bude uzavřena zvlášť ke každému projektu.</w:t>
      </w: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9D459B" w:rsidRDefault="009D459B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DF0958" w:rsidRPr="009D459B" w:rsidRDefault="00DF0958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lastRenderedPageBreak/>
        <w:t xml:space="preserve">Uchazeč musí splňovat níže uvedená kritéria (jejich splnění bude ověřeno nejpozději před podpisem smlouvy): </w:t>
      </w:r>
    </w:p>
    <w:p w:rsidR="00DF0958" w:rsidRPr="009D459B" w:rsidRDefault="00DF0958" w:rsidP="00DF09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t xml:space="preserve">Držitel platného auditorského oprávnění Komory auditorů České republiky – uchazeč uvede číslo oprávnění, bude ověřeno v Rejstříku auditorů dostupném na </w:t>
      </w:r>
      <w:hyperlink r:id="rId8">
        <w:r w:rsidRPr="009D459B">
          <w:rPr>
            <w:rFonts w:cs="Arial-BoldMT"/>
            <w:bCs/>
            <w:sz w:val="28"/>
            <w:szCs w:val="28"/>
          </w:rPr>
          <w:t>https://www.kacr.cz/vyber-auditora</w:t>
        </w:r>
      </w:hyperlink>
      <w:r w:rsidRPr="009D459B">
        <w:rPr>
          <w:rFonts w:cs="Arial-BoldMT"/>
          <w:bCs/>
          <w:sz w:val="28"/>
          <w:szCs w:val="28"/>
        </w:rPr>
        <w:t xml:space="preserve"> </w:t>
      </w:r>
    </w:p>
    <w:p w:rsidR="00DF0958" w:rsidRPr="009D459B" w:rsidRDefault="00DF0958" w:rsidP="00DF09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t xml:space="preserve">Doložitelná zkušenost s poskytováním auditorských služeb dle příslušných právních předpisů (zákon o auditorech č. 93/2009Sb. ve znění pozdějších předpisů, v předchozích 3 letech (2018-2020) </w:t>
      </w:r>
    </w:p>
    <w:p w:rsidR="00DF0958" w:rsidRPr="009D459B" w:rsidRDefault="00DF0958" w:rsidP="00DF09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t xml:space="preserve">Doložitelné vzdělání/profesní zkušenost všech osob, které se budou podílet na zpracování </w:t>
      </w:r>
      <w:r w:rsidR="009D459B">
        <w:rPr>
          <w:rFonts w:cs="Arial-BoldMT"/>
          <w:bCs/>
          <w:sz w:val="28"/>
          <w:szCs w:val="28"/>
        </w:rPr>
        <w:t>auditu, který</w:t>
      </w:r>
      <w:r w:rsidRPr="009D459B">
        <w:rPr>
          <w:rFonts w:cs="Arial-BoldMT"/>
          <w:bCs/>
          <w:sz w:val="28"/>
          <w:szCs w:val="28"/>
        </w:rPr>
        <w:t xml:space="preserve"> je předmětem této poptávky, bude doloženo přehledem projektů fin</w:t>
      </w:r>
      <w:r w:rsidR="009D459B">
        <w:rPr>
          <w:rFonts w:cs="Arial-BoldMT"/>
          <w:bCs/>
          <w:sz w:val="28"/>
          <w:szCs w:val="28"/>
        </w:rPr>
        <w:t>ancovaných z grantů nebo jiných veřejných fondů.</w:t>
      </w:r>
    </w:p>
    <w:p w:rsidR="00DF0958" w:rsidRPr="009D459B" w:rsidRDefault="00DF0958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t>Kritérium pro hodnocení nabídek: c</w:t>
      </w:r>
      <w:r w:rsidR="009D459B">
        <w:rPr>
          <w:rFonts w:cs="Arial-BoldMT"/>
          <w:bCs/>
          <w:sz w:val="28"/>
          <w:szCs w:val="28"/>
        </w:rPr>
        <w:t>elková cena s</w:t>
      </w:r>
      <w:r w:rsidRPr="009D459B">
        <w:rPr>
          <w:rFonts w:cs="Arial-BoldMT"/>
          <w:bCs/>
          <w:sz w:val="28"/>
          <w:szCs w:val="28"/>
        </w:rPr>
        <w:t xml:space="preserve"> DPH</w:t>
      </w:r>
    </w:p>
    <w:p w:rsidR="00DF0958" w:rsidRPr="009D459B" w:rsidRDefault="00DF0958" w:rsidP="00DF0958">
      <w:pPr>
        <w:spacing w:line="240" w:lineRule="auto"/>
        <w:rPr>
          <w:rFonts w:cs="Arial-BoldMT"/>
          <w:bCs/>
          <w:sz w:val="28"/>
          <w:szCs w:val="28"/>
        </w:rPr>
      </w:pPr>
    </w:p>
    <w:p w:rsidR="00DF0958" w:rsidRPr="009D459B" w:rsidRDefault="00DF0958" w:rsidP="00DF0958">
      <w:pPr>
        <w:spacing w:line="240" w:lineRule="auto"/>
        <w:rPr>
          <w:rFonts w:cs="Arial-BoldMT"/>
          <w:bCs/>
          <w:sz w:val="28"/>
          <w:szCs w:val="28"/>
        </w:rPr>
      </w:pPr>
      <w:r w:rsidRPr="009D459B">
        <w:rPr>
          <w:rFonts w:cs="Arial-BoldMT"/>
          <w:bCs/>
          <w:sz w:val="28"/>
          <w:szCs w:val="28"/>
        </w:rPr>
        <w:t xml:space="preserve">V případě zájmu, prosím, vyplňte formulář a zašlete nám jej naskenovaný na adresu: </w:t>
      </w:r>
      <w:r w:rsidR="009D459B">
        <w:rPr>
          <w:rFonts w:cs="Arial-BoldMT"/>
          <w:bCs/>
          <w:sz w:val="28"/>
          <w:szCs w:val="28"/>
        </w:rPr>
        <w:t>eva.malcova@chmi.cz</w:t>
      </w:r>
    </w:p>
    <w:p w:rsidR="00DF0958" w:rsidRPr="00DF0958" w:rsidRDefault="00DF0958" w:rsidP="00DF0958">
      <w:pPr>
        <w:spacing w:line="240" w:lineRule="auto"/>
        <w:jc w:val="both"/>
        <w:rPr>
          <w:rFonts w:cs="Arial-BoldMT"/>
          <w:bCs/>
          <w:sz w:val="28"/>
          <w:szCs w:val="28"/>
        </w:rPr>
      </w:pPr>
    </w:p>
    <w:p w:rsidR="00DF0958" w:rsidRDefault="00DF0958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jc w:val="center"/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lastRenderedPageBreak/>
        <w:t xml:space="preserve">Formulář pro podání nabídky v rámci Poptávkového řízení na poskytnutí služeb zpracování </w:t>
      </w:r>
      <w:r w:rsidRPr="00C261A7">
        <w:rPr>
          <w:rFonts w:cs="Arial-BoldMT"/>
          <w:bCs/>
          <w:sz w:val="28"/>
          <w:szCs w:val="28"/>
        </w:rPr>
        <w:t>auditu projektů Ministerstva vnitra</w:t>
      </w: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pBdr>
          <w:between w:val="single" w:sz="4" w:space="1" w:color="auto"/>
          <w:bar w:val="single" w:sz="4" w:color="auto"/>
        </w:pBd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Název/jméno uchazeče: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Sídlo/Adresa: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IČ: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Číslo oprávnění auditorské společnosti/auditora: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 xml:space="preserve">Jméno auditora (auditorů), který zpracuje </w:t>
      </w:r>
      <w:r w:rsidR="008B75D1" w:rsidRPr="00C261A7">
        <w:rPr>
          <w:rFonts w:cs="Arial-BoldMT"/>
          <w:bCs/>
          <w:sz w:val="28"/>
          <w:szCs w:val="28"/>
        </w:rPr>
        <w:t>audit: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 xml:space="preserve">Nabízená celková cena </w:t>
      </w:r>
      <w:r w:rsidR="008B75D1" w:rsidRPr="00C261A7">
        <w:rPr>
          <w:rFonts w:cs="Arial-BoldMT"/>
          <w:bCs/>
          <w:sz w:val="28"/>
          <w:szCs w:val="28"/>
        </w:rPr>
        <w:t>s</w:t>
      </w:r>
      <w:r w:rsidRPr="00C261A7">
        <w:rPr>
          <w:rFonts w:cs="Arial-BoldMT"/>
          <w:bCs/>
          <w:sz w:val="28"/>
          <w:szCs w:val="28"/>
        </w:rPr>
        <w:t xml:space="preserve"> DPH za audit projektu </w:t>
      </w:r>
      <w:r w:rsidR="008B75D1" w:rsidRPr="00DF0958">
        <w:rPr>
          <w:rFonts w:cs="Arial-BoldMT"/>
          <w:bCs/>
          <w:sz w:val="28"/>
          <w:szCs w:val="28"/>
        </w:rPr>
        <w:t>„Stanovení metod hodnocení městského klimatu, zvláště tepelného ostrova, určení postupů a návrh opatření pro omezení negativních dopadů meteorologických extrémů na obyvatele a životní prostředí, zejména ve velkých městských aglomeracích“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B2" w:rsidRPr="00C261A7" w:rsidTr="000C2474">
        <w:tc>
          <w:tcPr>
            <w:tcW w:w="9062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  <w:r w:rsidRPr="00C261A7">
              <w:rPr>
                <w:rFonts w:cs="Arial-BoldMT"/>
                <w:bCs/>
                <w:sz w:val="28"/>
                <w:szCs w:val="28"/>
              </w:rPr>
              <w:t>Kč</w:t>
            </w: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C261A7" w:rsidRDefault="00C261A7" w:rsidP="009B43B2">
      <w:pPr>
        <w:rPr>
          <w:rFonts w:cs="Arial-BoldMT"/>
          <w:bCs/>
          <w:sz w:val="28"/>
          <w:szCs w:val="28"/>
        </w:rPr>
      </w:pPr>
    </w:p>
    <w:p w:rsidR="00C261A7" w:rsidRDefault="00C261A7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lastRenderedPageBreak/>
        <w:t xml:space="preserve">Nabízená celková cena </w:t>
      </w:r>
      <w:r w:rsidR="008B75D1" w:rsidRPr="00C261A7">
        <w:rPr>
          <w:rFonts w:cs="Arial-BoldMT"/>
          <w:bCs/>
          <w:sz w:val="28"/>
          <w:szCs w:val="28"/>
        </w:rPr>
        <w:t>s</w:t>
      </w:r>
      <w:r w:rsidRPr="00C261A7">
        <w:rPr>
          <w:rFonts w:cs="Arial-BoldMT"/>
          <w:bCs/>
          <w:sz w:val="28"/>
          <w:szCs w:val="28"/>
        </w:rPr>
        <w:t xml:space="preserve"> DPH za audit projektu </w:t>
      </w:r>
      <w:r w:rsidR="008B75D1" w:rsidRPr="00DF0958">
        <w:rPr>
          <w:rFonts w:cs="Arial-BoldMT"/>
          <w:bCs/>
          <w:sz w:val="28"/>
          <w:szCs w:val="28"/>
        </w:rPr>
        <w:t>„Hydrometeorologická rizika v České republice- změny rizik a zlepšení jejich predikcí“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3B2" w:rsidRPr="00C261A7" w:rsidTr="000C2474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B43B2" w:rsidRPr="00C261A7" w:rsidTr="000C2474">
              <w:tc>
                <w:tcPr>
                  <w:tcW w:w="8836" w:type="dxa"/>
                </w:tcPr>
                <w:p w:rsidR="009B43B2" w:rsidRPr="00C261A7" w:rsidRDefault="009B43B2" w:rsidP="000C2474">
                  <w:pPr>
                    <w:rPr>
                      <w:rFonts w:cs="Arial-BoldMT"/>
                      <w:bCs/>
                      <w:sz w:val="28"/>
                      <w:szCs w:val="28"/>
                    </w:rPr>
                  </w:pPr>
                  <w:r w:rsidRPr="00C261A7">
                    <w:rPr>
                      <w:rFonts w:cs="Arial-BoldMT"/>
                      <w:bCs/>
                      <w:sz w:val="28"/>
                      <w:szCs w:val="28"/>
                    </w:rPr>
                    <w:t>Kč</w:t>
                  </w:r>
                </w:p>
              </w:tc>
            </w:tr>
          </w:tbl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  <w:tr w:rsidR="009B43B2" w:rsidRPr="00C261A7" w:rsidTr="000C2474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  <w:tr w:rsidR="009B43B2" w:rsidRPr="00C261A7" w:rsidTr="000C2474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  <w:r w:rsidRPr="00C261A7">
              <w:rPr>
                <w:rFonts w:cs="Arial-BoldMT"/>
                <w:bCs/>
                <w:sz w:val="28"/>
                <w:szCs w:val="28"/>
              </w:rPr>
              <w:t>Reference z předchozích 3 let uchazeče (vyplňte níže nebo doložte přílohou):</w:t>
            </w:r>
          </w:p>
        </w:tc>
      </w:tr>
      <w:tr w:rsidR="009B43B2" w:rsidRPr="00C261A7" w:rsidTr="000C2474">
        <w:tc>
          <w:tcPr>
            <w:tcW w:w="3020" w:type="dxa"/>
          </w:tcPr>
          <w:p w:rsidR="009B43B2" w:rsidRPr="00C261A7" w:rsidRDefault="009B43B2" w:rsidP="000C2474">
            <w:pPr>
              <w:jc w:val="center"/>
              <w:rPr>
                <w:rFonts w:cs="Arial-BoldMT"/>
                <w:bCs/>
                <w:sz w:val="28"/>
                <w:szCs w:val="28"/>
              </w:rPr>
            </w:pPr>
            <w:r w:rsidRPr="00C261A7">
              <w:rPr>
                <w:rFonts w:cs="Arial-BoldMT"/>
                <w:bCs/>
                <w:sz w:val="28"/>
                <w:szCs w:val="28"/>
              </w:rPr>
              <w:t>datum auditu</w:t>
            </w:r>
          </w:p>
        </w:tc>
        <w:tc>
          <w:tcPr>
            <w:tcW w:w="3021" w:type="dxa"/>
          </w:tcPr>
          <w:p w:rsidR="009B43B2" w:rsidRPr="00C261A7" w:rsidRDefault="009B43B2" w:rsidP="000C2474">
            <w:pPr>
              <w:jc w:val="center"/>
              <w:rPr>
                <w:rFonts w:cs="Arial-BoldMT"/>
                <w:bCs/>
                <w:sz w:val="28"/>
                <w:szCs w:val="28"/>
              </w:rPr>
            </w:pPr>
            <w:r w:rsidRPr="00C261A7">
              <w:rPr>
                <w:rFonts w:cs="Arial-BoldMT"/>
                <w:bCs/>
                <w:sz w:val="28"/>
                <w:szCs w:val="28"/>
              </w:rPr>
              <w:t>klient</w:t>
            </w:r>
          </w:p>
        </w:tc>
        <w:tc>
          <w:tcPr>
            <w:tcW w:w="3021" w:type="dxa"/>
          </w:tcPr>
          <w:p w:rsidR="009B43B2" w:rsidRPr="00C261A7" w:rsidRDefault="009B43B2" w:rsidP="000C2474">
            <w:pPr>
              <w:jc w:val="center"/>
              <w:rPr>
                <w:rFonts w:cs="Arial-BoldMT"/>
                <w:bCs/>
                <w:sz w:val="28"/>
                <w:szCs w:val="28"/>
              </w:rPr>
            </w:pPr>
            <w:r w:rsidRPr="00C261A7">
              <w:rPr>
                <w:rFonts w:cs="Arial-BoldMT"/>
                <w:bCs/>
                <w:sz w:val="28"/>
                <w:szCs w:val="28"/>
              </w:rPr>
              <w:t>kontaktní osoba</w:t>
            </w:r>
          </w:p>
        </w:tc>
      </w:tr>
      <w:tr w:rsidR="009B43B2" w:rsidRPr="00C261A7" w:rsidTr="000C2474">
        <w:tc>
          <w:tcPr>
            <w:tcW w:w="3020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  <w:tr w:rsidR="009B43B2" w:rsidRPr="00C261A7" w:rsidTr="000C2474">
        <w:tc>
          <w:tcPr>
            <w:tcW w:w="3020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B43B2" w:rsidRPr="00C261A7" w:rsidRDefault="009B43B2" w:rsidP="000C2474">
            <w:pPr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 xml:space="preserve">Čestně prohlašuji, že: </w:t>
      </w:r>
    </w:p>
    <w:p w:rsidR="009B43B2" w:rsidRPr="00C261A7" w:rsidRDefault="009B43B2" w:rsidP="009B43B2">
      <w:pPr>
        <w:pStyle w:val="Odstavecseseznamem"/>
        <w:numPr>
          <w:ilvl w:val="0"/>
          <w:numId w:val="2"/>
        </w:num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máme zkušenost s auditem projektů financovaných z grantů či jiných veřejných fondů a nejpozději před uzavřením smlouvy o zajištění auditu doložíme přehled projektů tohoto typu, které jsme auditovali;</w:t>
      </w:r>
    </w:p>
    <w:p w:rsidR="009B43B2" w:rsidRPr="00C261A7" w:rsidRDefault="009B43B2" w:rsidP="009B43B2">
      <w:pPr>
        <w:pStyle w:val="Odstavecseseznamem"/>
        <w:numPr>
          <w:ilvl w:val="0"/>
          <w:numId w:val="2"/>
        </w:num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všechny osoby, které se budou na auditu projektu podílet, jsou kvalifikované pro profesi auditora</w:t>
      </w:r>
      <w:r w:rsidR="00C261A7">
        <w:rPr>
          <w:rFonts w:cs="Arial-BoldMT"/>
          <w:bCs/>
          <w:sz w:val="28"/>
          <w:szCs w:val="28"/>
        </w:rPr>
        <w:t>.</w:t>
      </w: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V ………………………..</w:t>
      </w:r>
      <w:r w:rsidRPr="00C261A7">
        <w:rPr>
          <w:rFonts w:cs="Arial-BoldMT"/>
          <w:bCs/>
          <w:sz w:val="28"/>
          <w:szCs w:val="28"/>
        </w:rPr>
        <w:tab/>
        <w:t xml:space="preserve">dne </w:t>
      </w:r>
      <w:r w:rsidRPr="00C261A7">
        <w:rPr>
          <w:rFonts w:cs="Arial-BoldMT"/>
          <w:bCs/>
          <w:sz w:val="28"/>
          <w:szCs w:val="28"/>
        </w:rPr>
        <w:tab/>
        <w:t>……………..</w:t>
      </w: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>………………………..</w:t>
      </w: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  <w:r w:rsidRPr="00C261A7">
        <w:rPr>
          <w:rFonts w:cs="Arial-BoldMT"/>
          <w:bCs/>
          <w:sz w:val="28"/>
          <w:szCs w:val="28"/>
        </w:rPr>
        <w:t xml:space="preserve">Podpis </w:t>
      </w:r>
    </w:p>
    <w:p w:rsidR="009B43B2" w:rsidRPr="00C261A7" w:rsidRDefault="009B43B2" w:rsidP="009B43B2">
      <w:pPr>
        <w:spacing w:line="240" w:lineRule="auto"/>
        <w:rPr>
          <w:rFonts w:cs="Arial-BoldMT"/>
          <w:bCs/>
          <w:sz w:val="28"/>
          <w:szCs w:val="28"/>
        </w:rPr>
      </w:pPr>
    </w:p>
    <w:p w:rsidR="009B43B2" w:rsidRPr="00C261A7" w:rsidRDefault="009B43B2" w:rsidP="009B43B2">
      <w:pPr>
        <w:rPr>
          <w:rFonts w:cs="Arial-BoldMT"/>
          <w:bCs/>
          <w:sz w:val="28"/>
          <w:szCs w:val="28"/>
        </w:rPr>
      </w:pPr>
    </w:p>
    <w:p w:rsidR="009B43B2" w:rsidRPr="00DF0958" w:rsidRDefault="009B43B2" w:rsidP="00DF095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sectPr w:rsidR="009B43B2" w:rsidRPr="00D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0AB"/>
    <w:multiLevelType w:val="hybridMultilevel"/>
    <w:tmpl w:val="84FA0958"/>
    <w:lvl w:ilvl="0" w:tplc="EDE0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6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AD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00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E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6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6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637"/>
    <w:multiLevelType w:val="hybridMultilevel"/>
    <w:tmpl w:val="34866388"/>
    <w:lvl w:ilvl="0" w:tplc="BCA0F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C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EB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AE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CF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2A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0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40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8"/>
    <w:rsid w:val="008B75D1"/>
    <w:rsid w:val="009B43B2"/>
    <w:rsid w:val="009D459B"/>
    <w:rsid w:val="009E5029"/>
    <w:rsid w:val="00C261A7"/>
    <w:rsid w:val="00DF0958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5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9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0958"/>
    <w:pPr>
      <w:ind w:left="720"/>
      <w:contextualSpacing/>
    </w:pPr>
  </w:style>
  <w:style w:type="table" w:styleId="Mkatabulky">
    <w:name w:val="Table Grid"/>
    <w:basedOn w:val="Normlntabulka"/>
    <w:uiPriority w:val="39"/>
    <w:rsid w:val="009B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5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9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0958"/>
    <w:pPr>
      <w:ind w:left="720"/>
      <w:contextualSpacing/>
    </w:pPr>
  </w:style>
  <w:style w:type="table" w:styleId="Mkatabulky">
    <w:name w:val="Table Grid"/>
    <w:basedOn w:val="Normlntabulka"/>
    <w:uiPriority w:val="39"/>
    <w:rsid w:val="009B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r.cz/vyber-audito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louvy.gov.cz/smlouva/13235016?backlink=juh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smlouva/9489999?backlink=t4b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MALCOVÁ, Bc.</dc:creator>
  <cp:lastModifiedBy>EVA MALCOVÁ, Bc.</cp:lastModifiedBy>
  <cp:revision>4</cp:revision>
  <dcterms:created xsi:type="dcterms:W3CDTF">2021-05-27T11:45:00Z</dcterms:created>
  <dcterms:modified xsi:type="dcterms:W3CDTF">2021-05-27T12:07:00Z</dcterms:modified>
</cp:coreProperties>
</file>