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9" w:rsidRPr="00EE7C53" w:rsidRDefault="00285709" w:rsidP="00285709">
      <w:pPr>
        <w:pStyle w:val="Nadpis2"/>
        <w:numPr>
          <w:ilvl w:val="1"/>
          <w:numId w:val="1"/>
        </w:numPr>
      </w:pPr>
      <w:bookmarkStart w:id="0" w:name="_Toc485715383"/>
      <w:r>
        <w:t xml:space="preserve">Informační </w:t>
      </w:r>
      <w:r w:rsidRPr="00EE7C53">
        <w:t>technologie</w:t>
      </w:r>
      <w:bookmarkEnd w:id="0"/>
    </w:p>
    <w:p w:rsidR="00285709" w:rsidRPr="00860FC1" w:rsidRDefault="00285709" w:rsidP="00285709">
      <w:pPr>
        <w:pStyle w:val="Nadpis3"/>
        <w:ind w:left="900" w:hanging="900"/>
      </w:pPr>
      <w:bookmarkStart w:id="1" w:name="_Toc58751891"/>
      <w:bookmarkStart w:id="2" w:name="_Toc126057517"/>
      <w:bookmarkStart w:id="3" w:name="_Toc126057667"/>
      <w:bookmarkStart w:id="4" w:name="_Toc485715384"/>
      <w:r w:rsidRPr="00860FC1">
        <w:t>Cíle a zaměření zkoušky</w:t>
      </w:r>
      <w:bookmarkEnd w:id="1"/>
      <w:bookmarkEnd w:id="2"/>
      <w:bookmarkEnd w:id="3"/>
      <w:bookmarkEnd w:id="4"/>
    </w:p>
    <w:p w:rsidR="00285709" w:rsidRPr="002A1741" w:rsidRDefault="00285709" w:rsidP="00285709">
      <w:pPr>
        <w:spacing w:before="120"/>
        <w:rPr>
          <w:b/>
          <w:bCs/>
        </w:rPr>
      </w:pPr>
      <w:r w:rsidRPr="002A1741">
        <w:rPr>
          <w:b/>
          <w:bCs/>
        </w:rPr>
        <w:t xml:space="preserve">Obsah zkoušky z informačních technologií je zaměřen na </w:t>
      </w:r>
      <w:r>
        <w:rPr>
          <w:b/>
          <w:bCs/>
        </w:rPr>
        <w:t>tři</w:t>
      </w:r>
      <w:r w:rsidRPr="002A1741">
        <w:rPr>
          <w:b/>
          <w:bCs/>
        </w:rPr>
        <w:t xml:space="preserve"> základní oblasti:</w:t>
      </w:r>
    </w:p>
    <w:p w:rsidR="00285709" w:rsidRPr="002A1741" w:rsidRDefault="00285709" w:rsidP="00285709">
      <w:pPr>
        <w:numPr>
          <w:ilvl w:val="0"/>
          <w:numId w:val="2"/>
        </w:numPr>
        <w:spacing w:before="120"/>
        <w:jc w:val="both"/>
      </w:pPr>
      <w:r>
        <w:t>Z</w:t>
      </w:r>
      <w:r w:rsidRPr="002A1741">
        <w:t xml:space="preserve">ákladní orientace v oblasti informatiky, tj. v základních pojmech týkajících se </w:t>
      </w:r>
      <w:r>
        <w:t>podnikového informačního systému, informačních technologií, techniky, infrastruktury, aplikací, zpracování dat a řízení provozu, rozvoje a výkonnosti podnikových informačních systémů.</w:t>
      </w:r>
    </w:p>
    <w:p w:rsidR="00285709" w:rsidRDefault="00285709" w:rsidP="00285709">
      <w:pPr>
        <w:numPr>
          <w:ilvl w:val="0"/>
          <w:numId w:val="2"/>
        </w:numPr>
        <w:spacing w:before="120"/>
        <w:jc w:val="both"/>
      </w:pPr>
      <w:r>
        <w:t>Právní předpisy týkající se využívání IT pro vedení účetnictví a bezpečnosti dat, tj. ochrana osobních údajů, informační a kybernetická bezpečnost, archivace dat, datové schránky, elektronický podpis.</w:t>
      </w:r>
    </w:p>
    <w:p w:rsidR="00285709" w:rsidRDefault="00285709" w:rsidP="00285709">
      <w:pPr>
        <w:numPr>
          <w:ilvl w:val="0"/>
          <w:numId w:val="2"/>
        </w:numPr>
        <w:spacing w:before="120"/>
        <w:jc w:val="both"/>
      </w:pPr>
      <w:r>
        <w:t>IT kontroly jako součást kontrolních systémů organizací a možnosti jejich prověřování, tj. základní kategorie kontrol IT, možnosti testování, audit IT/IS.</w:t>
      </w:r>
    </w:p>
    <w:p w:rsidR="00285709" w:rsidRDefault="00285709" w:rsidP="00285709">
      <w:pPr>
        <w:spacing w:before="120"/>
        <w:ind w:left="360"/>
        <w:jc w:val="both"/>
      </w:pPr>
      <w:r>
        <w:t>Účelem je zabezpečit u uchazečů základní orientaci v uvedených oblastech a jejich schopnost rozpoznat hlavní možnosti a rizika řešení daných problémů z uživatelského hlediska.</w:t>
      </w:r>
    </w:p>
    <w:p w:rsidR="00285709" w:rsidRPr="002A1741" w:rsidRDefault="00285709" w:rsidP="00285709">
      <w:pPr>
        <w:spacing w:before="120"/>
        <w:ind w:left="720"/>
        <w:jc w:val="both"/>
      </w:pPr>
    </w:p>
    <w:p w:rsidR="00285709" w:rsidRPr="00EC19CA" w:rsidRDefault="00285709" w:rsidP="00285709">
      <w:pPr>
        <w:pStyle w:val="Nadpis3"/>
        <w:ind w:left="900" w:hanging="900"/>
      </w:pPr>
      <w:bookmarkStart w:id="5" w:name="_Toc58751892"/>
      <w:bookmarkStart w:id="6" w:name="_Toc126057518"/>
      <w:bookmarkStart w:id="7" w:name="_Toc126057668"/>
      <w:bookmarkStart w:id="8" w:name="_Toc485715385"/>
      <w:r w:rsidRPr="00EC19CA">
        <w:t>Vymezení témat</w:t>
      </w:r>
      <w:bookmarkEnd w:id="5"/>
      <w:bookmarkEnd w:id="6"/>
      <w:bookmarkEnd w:id="7"/>
      <w:bookmarkEnd w:id="8"/>
    </w:p>
    <w:p w:rsidR="00285709" w:rsidRPr="005E5B78" w:rsidRDefault="00285709" w:rsidP="00285709">
      <w:pPr>
        <w:rPr>
          <w:b/>
        </w:rPr>
      </w:pPr>
      <w:r w:rsidRPr="005E5B78">
        <w:t xml:space="preserve">1. </w:t>
      </w:r>
      <w:r w:rsidRPr="005E5B78">
        <w:rPr>
          <w:b/>
        </w:rPr>
        <w:t>Základní pojmy</w:t>
      </w:r>
    </w:p>
    <w:p w:rsidR="00285709" w:rsidRPr="005E5B78" w:rsidRDefault="00285709" w:rsidP="00285709">
      <w:pPr>
        <w:pStyle w:val="Odstavecseseznamem"/>
        <w:numPr>
          <w:ilvl w:val="0"/>
          <w:numId w:val="7"/>
        </w:numPr>
        <w:spacing w:after="160" w:line="259" w:lineRule="auto"/>
      </w:pPr>
      <w:r w:rsidRPr="005E5B78">
        <w:t>Data, informace, znalosti, podnikový informační systém, IT služby, modely dodávek ICT služeb, řízení služeb business a IT procesy, trendy podnikových informačních systémů</w:t>
      </w:r>
    </w:p>
    <w:p w:rsidR="00285709" w:rsidRPr="00922A64" w:rsidRDefault="00285709" w:rsidP="00285709">
      <w:pPr>
        <w:rPr>
          <w:b/>
        </w:rPr>
      </w:pPr>
      <w:r w:rsidRPr="00922A64">
        <w:rPr>
          <w:b/>
        </w:rPr>
        <w:t>2. Informační technologie, technika a infrastruktura</w:t>
      </w:r>
    </w:p>
    <w:p w:rsidR="00285709" w:rsidRPr="005E5B78" w:rsidRDefault="00285709" w:rsidP="00285709">
      <w:pPr>
        <w:pStyle w:val="Odstavecseseznamem"/>
        <w:numPr>
          <w:ilvl w:val="0"/>
          <w:numId w:val="7"/>
        </w:numPr>
        <w:spacing w:after="160" w:line="259" w:lineRule="auto"/>
      </w:pPr>
      <w:r w:rsidRPr="005E5B78">
        <w:t>Technické prostředky (klasifikace), programové prostředky (dělení do skupin), komunikační sítě, internet principy, služby internetu, prvky a služby infrastruktury podnikového informačního systému, způsoby získávání technických a programových prostředků, kritéria výběru a hodnocení informačních technologií</w:t>
      </w:r>
    </w:p>
    <w:p w:rsidR="00285709" w:rsidRPr="005E5B78" w:rsidRDefault="00285709" w:rsidP="00285709">
      <w:pPr>
        <w:rPr>
          <w:b/>
        </w:rPr>
      </w:pPr>
      <w:r w:rsidRPr="005E5B78">
        <w:rPr>
          <w:b/>
        </w:rPr>
        <w:t>3. Aplikace podnikové informatiky</w:t>
      </w:r>
    </w:p>
    <w:p w:rsidR="00285709" w:rsidRPr="005E5B78" w:rsidRDefault="00285709" w:rsidP="00285709">
      <w:pPr>
        <w:pStyle w:val="Odstavecseseznamem"/>
        <w:numPr>
          <w:ilvl w:val="0"/>
          <w:numId w:val="7"/>
        </w:numPr>
        <w:spacing w:after="160" w:line="259" w:lineRule="auto"/>
      </w:pPr>
      <w:r>
        <w:t>K</w:t>
      </w:r>
      <w:r w:rsidRPr="005E5B78">
        <w:t xml:space="preserve">lasifikace aplikací podnikové informatiky, ERP systémy, principy řešení, základní a specifické funkce ERP systémů, kategorie produktů ERP systémů, aplikace pro řízení externích vztahů, elektronické obchodování, základní vztahy mezi subjekty, business </w:t>
      </w:r>
      <w:proofErr w:type="spellStart"/>
      <w:r w:rsidRPr="005E5B78">
        <w:t>intelligence</w:t>
      </w:r>
      <w:proofErr w:type="spellEnd"/>
      <w:r w:rsidRPr="005E5B78">
        <w:t xml:space="preserve"> (BI), komponenty řešení BI</w:t>
      </w:r>
    </w:p>
    <w:p w:rsidR="00285709" w:rsidRPr="005E5B78" w:rsidRDefault="00285709" w:rsidP="00285709">
      <w:pPr>
        <w:rPr>
          <w:b/>
        </w:rPr>
      </w:pPr>
      <w:r w:rsidRPr="005E5B78">
        <w:rPr>
          <w:b/>
        </w:rPr>
        <w:t>4. Data podnikového informačního systému</w:t>
      </w:r>
    </w:p>
    <w:p w:rsidR="00285709" w:rsidRPr="005E5B78" w:rsidRDefault="00285709" w:rsidP="00285709">
      <w:pPr>
        <w:pStyle w:val="Odstavecseseznamem"/>
        <w:numPr>
          <w:ilvl w:val="0"/>
          <w:numId w:val="7"/>
        </w:numPr>
        <w:spacing w:after="160" w:line="259" w:lineRule="auto"/>
      </w:pPr>
      <w:r w:rsidRPr="005E5B78">
        <w:t xml:space="preserve">Prezentace dat a </w:t>
      </w:r>
      <w:proofErr w:type="spellStart"/>
      <w:r w:rsidRPr="005E5B78">
        <w:t>metadat</w:t>
      </w:r>
      <w:proofErr w:type="spellEnd"/>
      <w:r w:rsidRPr="005E5B78">
        <w:t>, souborový a databázový přístup k uložení dat, relační databáze a SQL, formáty ukládání dat, kategorie dat, ochrana a bezpečnost dat, datové modelování a návrh databází</w:t>
      </w:r>
    </w:p>
    <w:p w:rsidR="00285709" w:rsidRPr="005E5B78" w:rsidRDefault="00285709" w:rsidP="00285709">
      <w:pPr>
        <w:rPr>
          <w:b/>
        </w:rPr>
      </w:pPr>
      <w:r w:rsidRPr="005E5B78">
        <w:rPr>
          <w:b/>
        </w:rPr>
        <w:t>5. Řízení provozu, rozvoje a výkonnosti podnikových informačních systémů</w:t>
      </w:r>
    </w:p>
    <w:p w:rsidR="00285709" w:rsidRPr="005E5B78" w:rsidRDefault="00285709" w:rsidP="00285709">
      <w:pPr>
        <w:pStyle w:val="Odstavecseseznamem"/>
        <w:numPr>
          <w:ilvl w:val="0"/>
          <w:numId w:val="7"/>
        </w:numPr>
        <w:spacing w:after="160" w:line="259" w:lineRule="auto"/>
      </w:pPr>
      <w:r w:rsidRPr="005E5B78">
        <w:lastRenderedPageBreak/>
        <w:t xml:space="preserve">Podniková architektura a její prvky, architektonické rámce, outsourcing (varianty), </w:t>
      </w:r>
      <w:proofErr w:type="spellStart"/>
      <w:r w:rsidRPr="005E5B78">
        <w:t>cloud</w:t>
      </w:r>
      <w:proofErr w:type="spellEnd"/>
      <w:r w:rsidRPr="005E5B78">
        <w:t xml:space="preserve"> </w:t>
      </w:r>
      <w:proofErr w:type="spellStart"/>
      <w:r w:rsidRPr="005E5B78">
        <w:t>computing</w:t>
      </w:r>
      <w:proofErr w:type="spellEnd"/>
      <w:r w:rsidRPr="005E5B78">
        <w:t xml:space="preserve"> (modely), metodiky řízení podnikové informatiky (ITIL COBIT), etapy životního cyklu aplikací (hlavní činnosti a výstupy), řízení podnikových procesů, procesní modelování, faktory ovlivňující řízení podnikové informatiky, řízení efektů a nákladů podnikové informatiky, principy řízení podnikové výkonnosti a výkonnosti IT</w:t>
      </w:r>
    </w:p>
    <w:p w:rsidR="00285709" w:rsidRPr="005E5B78" w:rsidRDefault="00285709" w:rsidP="00285709">
      <w:pPr>
        <w:rPr>
          <w:b/>
        </w:rPr>
      </w:pPr>
      <w:r w:rsidRPr="005E5B78">
        <w:rPr>
          <w:b/>
        </w:rPr>
        <w:t xml:space="preserve">6. </w:t>
      </w:r>
      <w:r>
        <w:rPr>
          <w:b/>
        </w:rPr>
        <w:t>P</w:t>
      </w:r>
      <w:r w:rsidRPr="005E5B78">
        <w:rPr>
          <w:b/>
        </w:rPr>
        <w:t>rávní předpis</w:t>
      </w:r>
      <w:r>
        <w:rPr>
          <w:b/>
        </w:rPr>
        <w:t>y</w:t>
      </w:r>
      <w:r w:rsidRPr="005E5B78">
        <w:rPr>
          <w:b/>
        </w:rPr>
        <w:t xml:space="preserve"> </w:t>
      </w:r>
      <w:r>
        <w:rPr>
          <w:b/>
        </w:rPr>
        <w:t>týkající se</w:t>
      </w:r>
      <w:r w:rsidRPr="005E5B78">
        <w:rPr>
          <w:b/>
        </w:rPr>
        <w:t xml:space="preserve"> využívání IT pro vedení účetnictví</w:t>
      </w:r>
      <w:r>
        <w:rPr>
          <w:b/>
        </w:rPr>
        <w:t xml:space="preserve"> a bezpečnosti dat</w:t>
      </w:r>
    </w:p>
    <w:p w:rsidR="00285709" w:rsidRPr="005E5B78" w:rsidRDefault="00285709" w:rsidP="00285709">
      <w:pPr>
        <w:pStyle w:val="Odstavecseseznamem"/>
        <w:numPr>
          <w:ilvl w:val="0"/>
          <w:numId w:val="7"/>
        </w:numPr>
        <w:spacing w:after="160" w:line="259" w:lineRule="auto"/>
      </w:pPr>
      <w:r w:rsidRPr="005E5B78">
        <w:t>Opravy účetních záznamů při vedení účetnictví na počítači, archivace účetních záznamů, bezpečnost a ochrana dat, nástroje a zabezpečení kybernetické bezpečnosti, elektronický podpis, šifrování dat, autorizovaná konverze dokumentů a datové schránky, ochrana osobních údajů</w:t>
      </w:r>
    </w:p>
    <w:p w:rsidR="00285709" w:rsidRPr="00922A64" w:rsidRDefault="00285709" w:rsidP="00285709">
      <w:pPr>
        <w:rPr>
          <w:b/>
        </w:rPr>
      </w:pPr>
      <w:r w:rsidRPr="00922A64">
        <w:rPr>
          <w:b/>
        </w:rPr>
        <w:t>7. Kontroly IT a jejich testování</w:t>
      </w:r>
    </w:p>
    <w:p w:rsidR="00285709" w:rsidRPr="005E5B78" w:rsidRDefault="00285709" w:rsidP="00285709">
      <w:pPr>
        <w:pStyle w:val="Odstavecseseznamem"/>
        <w:numPr>
          <w:ilvl w:val="0"/>
          <w:numId w:val="7"/>
        </w:numPr>
        <w:spacing w:after="160" w:line="259" w:lineRule="auto"/>
      </w:pPr>
      <w:r w:rsidRPr="005E5B78">
        <w:t xml:space="preserve">Různé dimenze kontrolních systémů, obecné kontroly, aplikační kontroly, </w:t>
      </w:r>
      <w:proofErr w:type="spellStart"/>
      <w:r w:rsidRPr="005E5B78">
        <w:t>governance</w:t>
      </w:r>
      <w:proofErr w:type="spellEnd"/>
      <w:r w:rsidRPr="005E5B78">
        <w:t xml:space="preserve"> kontroly, manažerské kontroly, technické kontroly, preventivní kontroly, detektivní kontroly, korektivní kontroly, druhy a techniky testování</w:t>
      </w:r>
    </w:p>
    <w:p w:rsidR="00285709" w:rsidRPr="005E5B78" w:rsidRDefault="00285709" w:rsidP="00285709">
      <w:pPr>
        <w:rPr>
          <w:b/>
        </w:rPr>
      </w:pPr>
      <w:r w:rsidRPr="005E5B78">
        <w:rPr>
          <w:b/>
        </w:rPr>
        <w:t>8. Audit informačního systému</w:t>
      </w:r>
    </w:p>
    <w:p w:rsidR="00285709" w:rsidRPr="005E5B78" w:rsidRDefault="00285709" w:rsidP="00285709">
      <w:pPr>
        <w:pStyle w:val="Odstavecseseznamem"/>
        <w:numPr>
          <w:ilvl w:val="0"/>
          <w:numId w:val="7"/>
        </w:numPr>
        <w:spacing w:after="160" w:line="259" w:lineRule="auto"/>
      </w:pPr>
      <w:r w:rsidRPr="005E5B78">
        <w:t>Druhy auditu IS, regulace auditu IS, metodiky auditu IS, dokumenty auditu IS, výstupní auditorská zpráva, řízení rizik IT, audit IS jako součást statutárního auditu</w:t>
      </w:r>
    </w:p>
    <w:p w:rsidR="00285709" w:rsidRPr="00EC19CA" w:rsidRDefault="00285709" w:rsidP="00285709">
      <w:pPr>
        <w:pStyle w:val="Nadpis3"/>
        <w:ind w:left="900" w:hanging="900"/>
      </w:pPr>
      <w:bookmarkStart w:id="9" w:name="_Toc58751893"/>
      <w:bookmarkStart w:id="10" w:name="_Toc126057519"/>
      <w:bookmarkStart w:id="11" w:name="_Toc126057669"/>
      <w:bookmarkStart w:id="12" w:name="_Toc485715386"/>
      <w:r w:rsidRPr="00EC19CA">
        <w:t>Literatura</w:t>
      </w:r>
      <w:bookmarkEnd w:id="9"/>
      <w:bookmarkEnd w:id="10"/>
      <w:bookmarkEnd w:id="11"/>
      <w:bookmarkEnd w:id="12"/>
    </w:p>
    <w:p w:rsidR="00285709" w:rsidRPr="00BF7F4B" w:rsidRDefault="00285709" w:rsidP="00285709">
      <w:pPr>
        <w:pStyle w:val="Nadpis4"/>
        <w:numPr>
          <w:ilvl w:val="3"/>
          <w:numId w:val="1"/>
        </w:numPr>
      </w:pPr>
      <w:r w:rsidRPr="00BF7F4B">
        <w:t>Povinná:</w:t>
      </w:r>
    </w:p>
    <w:p w:rsidR="00285709" w:rsidRPr="00431114" w:rsidRDefault="00285709" w:rsidP="00285709">
      <w:pPr>
        <w:spacing w:before="120"/>
        <w:ind w:left="360"/>
        <w:jc w:val="both"/>
      </w:pPr>
      <w:r w:rsidRPr="00431114">
        <w:t>[1]</w:t>
      </w:r>
      <w:r w:rsidRPr="00431114">
        <w:tab/>
        <w:t>Podniková informatika, Gála Libor, Pour Jan, Šedivá Zuzana, GRADA, 2015, ISBN: 978-80-247-5457-4</w:t>
      </w:r>
    </w:p>
    <w:p w:rsidR="00285709" w:rsidRPr="00BF7F4B" w:rsidRDefault="00285709" w:rsidP="00285709">
      <w:pPr>
        <w:pStyle w:val="Nadpis4"/>
        <w:numPr>
          <w:ilvl w:val="3"/>
          <w:numId w:val="1"/>
        </w:numPr>
      </w:pPr>
      <w:r w:rsidRPr="00BF7F4B">
        <w:t>Doporučená:</w:t>
      </w:r>
    </w:p>
    <w:p w:rsidR="00285709" w:rsidRDefault="00285709" w:rsidP="00285709">
      <w:pPr>
        <w:pStyle w:val="Odstavecseseznamem"/>
        <w:numPr>
          <w:ilvl w:val="0"/>
          <w:numId w:val="5"/>
        </w:numPr>
        <w:spacing w:before="120"/>
        <w:jc w:val="both"/>
      </w:pPr>
      <w:r>
        <w:t xml:space="preserve">Audit informačního systému, Vlasta Svatá, </w:t>
      </w:r>
      <w:proofErr w:type="spellStart"/>
      <w:r>
        <w:t>Oeconomica</w:t>
      </w:r>
      <w:proofErr w:type="spellEnd"/>
      <w:r>
        <w:t xml:space="preserve">, 2016, ISBN 978-80-245-2168-8 </w:t>
      </w:r>
    </w:p>
    <w:p w:rsidR="00285709" w:rsidRDefault="00285709" w:rsidP="00285709">
      <w:pPr>
        <w:pStyle w:val="Odstavecseseznamem"/>
        <w:numPr>
          <w:ilvl w:val="0"/>
          <w:numId w:val="5"/>
        </w:numPr>
        <w:spacing w:before="120"/>
        <w:jc w:val="both"/>
      </w:pPr>
      <w:r>
        <w:t xml:space="preserve">Principy a modely řízení podnikové informatiky, Voříšek, J., 2. aktualizované vydání, </w:t>
      </w:r>
      <w:proofErr w:type="spellStart"/>
      <w:r>
        <w:t>Oeconomica</w:t>
      </w:r>
      <w:proofErr w:type="spellEnd"/>
      <w:r>
        <w:t xml:space="preserve">: Praha 2015. ISBN 978-80-2452-086-5. </w:t>
      </w:r>
    </w:p>
    <w:p w:rsidR="00285709" w:rsidRDefault="00285709" w:rsidP="00285709">
      <w:pPr>
        <w:pStyle w:val="Odstavecseseznamem"/>
        <w:numPr>
          <w:ilvl w:val="0"/>
          <w:numId w:val="5"/>
        </w:numPr>
        <w:spacing w:before="120"/>
        <w:jc w:val="both"/>
      </w:pPr>
      <w:r>
        <w:t>Vybrané články z časopisu Auditor (od roku 2016 včetně).</w:t>
      </w:r>
    </w:p>
    <w:p w:rsidR="00285709" w:rsidRPr="002A1741" w:rsidRDefault="00285709" w:rsidP="00285709"/>
    <w:p w:rsidR="00285709" w:rsidRPr="00BF7F4B" w:rsidRDefault="00285709" w:rsidP="00285709">
      <w:pPr>
        <w:pStyle w:val="Nadpis4"/>
        <w:numPr>
          <w:ilvl w:val="3"/>
          <w:numId w:val="1"/>
        </w:numPr>
      </w:pPr>
      <w:r>
        <w:t>Předpisy p</w:t>
      </w:r>
      <w:r w:rsidRPr="00BF7F4B">
        <w:t>odrobná znalost:</w:t>
      </w:r>
    </w:p>
    <w:p w:rsidR="00285709" w:rsidRPr="00F76936" w:rsidRDefault="00285709" w:rsidP="00285709">
      <w:pPr>
        <w:spacing w:before="120"/>
        <w:ind w:left="360"/>
        <w:jc w:val="both"/>
      </w:pPr>
      <w:r>
        <w:t xml:space="preserve">[1] Zákon č. 297/2016 Sb., o službách vytvářejících důvěru pro elektronické transakce, ve znění pozdějších předpisů. </w:t>
      </w:r>
    </w:p>
    <w:p w:rsidR="00285709" w:rsidRDefault="00285709" w:rsidP="00285709">
      <w:pPr>
        <w:spacing w:before="120"/>
        <w:ind w:left="360"/>
        <w:jc w:val="both"/>
      </w:pPr>
      <w:r>
        <w:t xml:space="preserve">[2] Zákon č. 110/2019 Sb., o zpracování osobních údajů. </w:t>
      </w:r>
    </w:p>
    <w:p w:rsidR="00285709" w:rsidRDefault="00285709" w:rsidP="00285709">
      <w:pPr>
        <w:spacing w:before="120"/>
        <w:ind w:left="360"/>
        <w:jc w:val="both"/>
      </w:pPr>
      <w:r>
        <w:t xml:space="preserve">[3] Zákon č. 300/2008 Sb., o elektronických úkonech a autorizované konverzi dokumentů, ve znění pozdějších předpisů. </w:t>
      </w:r>
    </w:p>
    <w:p w:rsidR="00285709" w:rsidRDefault="00285709" w:rsidP="00285709">
      <w:pPr>
        <w:spacing w:before="120"/>
        <w:ind w:left="360"/>
        <w:jc w:val="both"/>
      </w:pPr>
      <w:r>
        <w:t xml:space="preserve">[4] Zákon č. 499/2004 Sb., o archivnictví a spisové službě a o změně některých zákonů, ve znění pozdějších předpisů. </w:t>
      </w:r>
    </w:p>
    <w:p w:rsidR="00285709" w:rsidRDefault="00285709" w:rsidP="00285709">
      <w:pPr>
        <w:spacing w:before="120"/>
        <w:ind w:left="360"/>
        <w:jc w:val="both"/>
      </w:pPr>
      <w:r>
        <w:t xml:space="preserve">[5] Zákon č. 181/2014 Sb., o kybernetické bezpečnosti a o změně souvisejících zákonů (zákon o kybernetické bezpečnosti), ve znění pozdějších předpisů. </w:t>
      </w:r>
    </w:p>
    <w:p w:rsidR="00285709" w:rsidRDefault="00285709" w:rsidP="00285709">
      <w:pPr>
        <w:spacing w:before="120"/>
        <w:ind w:left="360"/>
        <w:jc w:val="both"/>
      </w:pPr>
      <w:r>
        <w:lastRenderedPageBreak/>
        <w:t xml:space="preserve">[6] Vyhláška č. 82/2018 Sb. o bezpečnostních opatřeních, kybernetických bezpečnostních incidentech, reaktivních opatřeních, náležitostech podání v oblasti kybernetické bezpečnosti a likvidaci dat (vyhláška o kybernetické bezpečnosti). </w:t>
      </w:r>
    </w:p>
    <w:p w:rsidR="00285709" w:rsidRDefault="00285709" w:rsidP="00285709">
      <w:pPr>
        <w:spacing w:before="120"/>
        <w:ind w:left="360"/>
        <w:jc w:val="both"/>
      </w:pPr>
      <w:r>
        <w:t xml:space="preserve">[7] Nařízení Evropského parlamentu a Rady (EU) č. 2016/679 ze dne 27. dubna 2016 o ochraně fyzických osob v souvislosti se zpracováním osobních údajů a o volném pohybu těchto údajů (tzv. nařízení GDPR). </w:t>
      </w:r>
    </w:p>
    <w:p w:rsidR="00285709" w:rsidRDefault="00285709" w:rsidP="00285709">
      <w:pPr>
        <w:spacing w:before="120"/>
        <w:ind w:left="360"/>
        <w:jc w:val="both"/>
      </w:pPr>
      <w:r>
        <w:t xml:space="preserve">[8] Nařízení Evropského parlamentu a Rady (EU) č. 910/2014 ze dne 23. července 2014 o elektronické identifikaci a službách vytvářejících důvěru pro elektronické transakce na vnitřním trhu (tzv. nařízení </w:t>
      </w:r>
      <w:proofErr w:type="spellStart"/>
      <w:r>
        <w:t>eIDAS</w:t>
      </w:r>
      <w:proofErr w:type="spellEnd"/>
      <w:r>
        <w:t xml:space="preserve">), ve znění pozdějších předpisů. </w:t>
      </w:r>
    </w:p>
    <w:p w:rsidR="00285709" w:rsidRPr="00F827FA" w:rsidRDefault="00285709" w:rsidP="00285709">
      <w:pPr>
        <w:pStyle w:val="Nadpis4"/>
        <w:numPr>
          <w:ilvl w:val="3"/>
          <w:numId w:val="1"/>
        </w:numPr>
      </w:pPr>
      <w:r>
        <w:t>Předpisy o</w:t>
      </w:r>
      <w:r w:rsidRPr="00F827FA">
        <w:t>becná znalost:</w:t>
      </w:r>
    </w:p>
    <w:p w:rsidR="00285709" w:rsidRPr="00792EC4" w:rsidRDefault="00285709" w:rsidP="00285709">
      <w:pPr>
        <w:pStyle w:val="Odstavecseseznamem"/>
        <w:numPr>
          <w:ilvl w:val="0"/>
          <w:numId w:val="6"/>
        </w:numPr>
        <w:spacing w:after="160" w:line="259" w:lineRule="auto"/>
      </w:pPr>
      <w:bookmarkStart w:id="13" w:name="_Toc485715387"/>
      <w:r>
        <w:t xml:space="preserve">Standardy </w:t>
      </w:r>
      <w:r w:rsidRPr="00792EC4">
        <w:t>IPPF</w:t>
      </w:r>
      <w:r>
        <w:t xml:space="preserve"> (</w:t>
      </w:r>
      <w:r w:rsidRPr="00792EC4">
        <w:t xml:space="preserve">International Professional </w:t>
      </w:r>
      <w:proofErr w:type="spellStart"/>
      <w:r w:rsidRPr="00792EC4">
        <w:t>Practices</w:t>
      </w:r>
      <w:proofErr w:type="spellEnd"/>
      <w:r w:rsidRPr="00792EC4">
        <w:t xml:space="preserve"> Framework</w:t>
      </w:r>
      <w:r>
        <w:t>) vydávané organizací Institut interních auditorů (důraz na standardy GTAG -</w:t>
      </w:r>
      <w:proofErr w:type="spellStart"/>
      <w:r w:rsidRPr="00792EC4">
        <w:t>Global</w:t>
      </w:r>
      <w:proofErr w:type="spellEnd"/>
      <w:r w:rsidRPr="00792EC4">
        <w:t xml:space="preserve"> Technology Audit </w:t>
      </w:r>
      <w:proofErr w:type="spellStart"/>
      <w:r w:rsidRPr="00792EC4">
        <w:t>Guides</w:t>
      </w:r>
      <w:proofErr w:type="spellEnd"/>
      <w:r w:rsidRPr="00792EC4">
        <w:t>)</w:t>
      </w:r>
    </w:p>
    <w:p w:rsidR="00285709" w:rsidRPr="00824FDE" w:rsidRDefault="00285709" w:rsidP="00285709">
      <w:pPr>
        <w:pStyle w:val="Nadpis3"/>
        <w:ind w:left="900"/>
      </w:pPr>
      <w:r w:rsidRPr="00824FDE">
        <w:t>Pomůcky u zkoušky</w:t>
      </w:r>
      <w:bookmarkEnd w:id="13"/>
    </w:p>
    <w:p w:rsidR="00285709" w:rsidRPr="002A1741" w:rsidRDefault="00285709" w:rsidP="00285709">
      <w:pPr>
        <w:numPr>
          <w:ilvl w:val="0"/>
          <w:numId w:val="4"/>
        </w:numPr>
        <w:spacing w:before="120"/>
        <w:jc w:val="both"/>
      </w:pPr>
      <w:r w:rsidRPr="002A1741">
        <w:t xml:space="preserve">K řešení nesmí být použity žádné </w:t>
      </w:r>
      <w:r>
        <w:t xml:space="preserve">pomocné </w:t>
      </w:r>
      <w:r w:rsidRPr="002A1741">
        <w:t>materiály, publikace ani jiné podklady a</w:t>
      </w:r>
      <w:r>
        <w:t> </w:t>
      </w:r>
      <w:r w:rsidRPr="002A1741">
        <w:t xml:space="preserve">musí být provedeno samostatně. </w:t>
      </w:r>
    </w:p>
    <w:p w:rsidR="00285709" w:rsidRPr="002A1741" w:rsidRDefault="00285709" w:rsidP="00285709">
      <w:pPr>
        <w:numPr>
          <w:ilvl w:val="0"/>
          <w:numId w:val="4"/>
        </w:numPr>
        <w:spacing w:before="120"/>
        <w:jc w:val="both"/>
      </w:pPr>
      <w:r w:rsidRPr="002A1741">
        <w:t>Řešení nesmí být zapsáno tužkou. Jakékoliv jiné pomůcky než psací potřeby a </w:t>
      </w:r>
      <w:r>
        <w:t xml:space="preserve">obyčejná </w:t>
      </w:r>
      <w:r w:rsidRPr="002A1741">
        <w:t>kalkulačka nejsou dovoleny.</w:t>
      </w:r>
    </w:p>
    <w:p w:rsidR="00285709" w:rsidRPr="008C0C4A" w:rsidRDefault="00285709" w:rsidP="00285709">
      <w:pPr>
        <w:pStyle w:val="Nadpis3"/>
        <w:ind w:left="900"/>
      </w:pPr>
      <w:r>
        <w:t xml:space="preserve"> </w:t>
      </w:r>
      <w:bookmarkStart w:id="14" w:name="_Toc485715388"/>
      <w:r w:rsidRPr="008C0C4A">
        <w:t>Průběh a podmínky zkoušky</w:t>
      </w:r>
      <w:bookmarkEnd w:id="14"/>
    </w:p>
    <w:p w:rsidR="00285709" w:rsidRPr="002A1741" w:rsidRDefault="00285709" w:rsidP="00285709">
      <w:pPr>
        <w:numPr>
          <w:ilvl w:val="1"/>
          <w:numId w:val="3"/>
        </w:numPr>
        <w:tabs>
          <w:tab w:val="clear" w:pos="1080"/>
          <w:tab w:val="num" w:pos="567"/>
        </w:tabs>
        <w:spacing w:before="120"/>
        <w:ind w:left="567" w:hanging="567"/>
        <w:jc w:val="both"/>
      </w:pPr>
      <w:r w:rsidRPr="00090D3B">
        <w:rPr>
          <w:b/>
        </w:rPr>
        <w:t>Test</w:t>
      </w:r>
      <w:r w:rsidRPr="002A1741">
        <w:t xml:space="preserve">: Test se skládá </w:t>
      </w:r>
      <w:proofErr w:type="gramStart"/>
      <w:r w:rsidRPr="002A1741">
        <w:t>ze</w:t>
      </w:r>
      <w:proofErr w:type="gramEnd"/>
      <w:r w:rsidRPr="002A1741">
        <w:t xml:space="preserve"> 60 tvrzení. Úkolem uchazeče je označit křížkem v připravených polích, zda je výrok pravdivý (ANO), či nepravdivý (NE). Správná odpověď je hodnocena </w:t>
      </w:r>
      <w:r>
        <w:t>0,5</w:t>
      </w:r>
      <w:r w:rsidRPr="002A1741">
        <w:t xml:space="preserve"> bodu, za chybnou odpověď je </w:t>
      </w:r>
      <w:r>
        <w:t>0,5</w:t>
      </w:r>
      <w:r w:rsidRPr="002A1741">
        <w:t xml:space="preserve"> bodu odečtena. Nezodpovězená tvrzení nejsou hodnocena. Součástí testu mohou být i otázky s výběrem možných </w:t>
      </w:r>
      <w:proofErr w:type="gramStart"/>
      <w:r w:rsidRPr="002A1741">
        <w:t>odpovědí (a, b c, d ...) hodnocené</w:t>
      </w:r>
      <w:proofErr w:type="gramEnd"/>
      <w:r w:rsidRPr="002A1741">
        <w:t xml:space="preserve"> po jednom bodu. Test nesmí být vyplňován obyčejnou tužkou. Na řešení testu má uchazeč k dispozici 30 minut čistého času. V průběhu řešení testu není dovoleno opouštět místnost.</w:t>
      </w:r>
    </w:p>
    <w:p w:rsidR="00285709" w:rsidRPr="002A1741" w:rsidRDefault="00285709" w:rsidP="00285709">
      <w:pPr>
        <w:numPr>
          <w:ilvl w:val="1"/>
          <w:numId w:val="3"/>
        </w:numPr>
        <w:tabs>
          <w:tab w:val="clear" w:pos="1080"/>
          <w:tab w:val="num" w:pos="567"/>
        </w:tabs>
        <w:spacing w:before="120"/>
        <w:ind w:left="567" w:hanging="567"/>
        <w:jc w:val="both"/>
      </w:pPr>
      <w:r w:rsidRPr="00090D3B">
        <w:rPr>
          <w:b/>
        </w:rPr>
        <w:t>Otázky</w:t>
      </w:r>
      <w:r w:rsidRPr="002A1741">
        <w:t xml:space="preserve">: Uchazeč odpovídá celkem na 7 otázek, přičemž každá z otázek může být hodnocena maximálně </w:t>
      </w:r>
      <w:r>
        <w:t>10</w:t>
      </w:r>
      <w:r w:rsidRPr="002A1741">
        <w:t xml:space="preserve"> body (minimálně 0 bodů). Otázka může mít i</w:t>
      </w:r>
      <w:r>
        <w:t> </w:t>
      </w:r>
      <w:r w:rsidRPr="002A1741">
        <w:t xml:space="preserve">podobu výběru možných odpovědí (a, b c, d …) hodnocené po jednom bodu. Celkově je možno získat maximálně </w:t>
      </w:r>
      <w:r>
        <w:t>70</w:t>
      </w:r>
      <w:r w:rsidRPr="002A1741">
        <w:t xml:space="preserve"> bodů. Odpověď nesmí být psána obyčejnou tužkou a</w:t>
      </w:r>
      <w:r>
        <w:t> </w:t>
      </w:r>
      <w:r w:rsidRPr="002A1741">
        <w:t>nemusí být obsáhlá, ale úplná. Odpovědi musí být uvedeny jasně, srozumitelně (v bodech nebo heslech) a zejména čitelně. Nečitelné odpovědi budou hodnoceny jako nevyhovující. Na odpovědi na otázky má uchazeč k dispozici celkem cca 90 minut čistého času. V průběhu řešení otázek není dovoleno opouštět místnost.</w:t>
      </w:r>
    </w:p>
    <w:p w:rsidR="00937B10" w:rsidRDefault="00285709">
      <w:bookmarkStart w:id="15" w:name="_GoBack"/>
      <w:bookmarkEnd w:id="15"/>
    </w:p>
    <w:sectPr w:rsidR="0093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4FB"/>
    <w:multiLevelType w:val="hybridMultilevel"/>
    <w:tmpl w:val="E62E136A"/>
    <w:lvl w:ilvl="0" w:tplc="1BD4125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2652F8"/>
    <w:multiLevelType w:val="hybridMultilevel"/>
    <w:tmpl w:val="74BCD518"/>
    <w:lvl w:ilvl="0" w:tplc="87DC660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A2CB2"/>
    <w:multiLevelType w:val="hybridMultilevel"/>
    <w:tmpl w:val="A2A050F4"/>
    <w:lvl w:ilvl="0" w:tplc="87DC660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422A1"/>
    <w:multiLevelType w:val="hybridMultilevel"/>
    <w:tmpl w:val="4D4A8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70E9C"/>
    <w:multiLevelType w:val="hybridMultilevel"/>
    <w:tmpl w:val="4C748004"/>
    <w:lvl w:ilvl="0" w:tplc="0405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C570CB"/>
    <w:multiLevelType w:val="multilevel"/>
    <w:tmpl w:val="E602695E"/>
    <w:lvl w:ilvl="0">
      <w:start w:val="1"/>
      <w:numFmt w:val="upperLetter"/>
      <w:lvlText w:val="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E807512"/>
    <w:multiLevelType w:val="hybridMultilevel"/>
    <w:tmpl w:val="E41EF4D0"/>
    <w:lvl w:ilvl="0" w:tplc="0405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09"/>
    <w:rsid w:val="00285709"/>
    <w:rsid w:val="00354E99"/>
    <w:rsid w:val="00B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7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aliases w:val="+"/>
    <w:basedOn w:val="Normln"/>
    <w:next w:val="Normln"/>
    <w:link w:val="Nadpis2Char"/>
    <w:qFormat/>
    <w:rsid w:val="00285709"/>
    <w:pPr>
      <w:keepNext/>
      <w:spacing w:before="360" w:after="180"/>
      <w:ind w:left="576"/>
      <w:outlineLvl w:val="1"/>
    </w:pPr>
    <w:rPr>
      <w:rFonts w:ascii="Arial" w:hAnsi="Arial"/>
      <w:b/>
      <w:smallCaps/>
      <w:shadow/>
      <w:snapToGrid w:val="0"/>
      <w:color w:val="003366"/>
      <w:sz w:val="44"/>
      <w:szCs w:val="44"/>
    </w:rPr>
  </w:style>
  <w:style w:type="paragraph" w:styleId="Nadpis3">
    <w:name w:val="heading 3"/>
    <w:basedOn w:val="Normln"/>
    <w:next w:val="Normln"/>
    <w:link w:val="Nadpis3Char"/>
    <w:qFormat/>
    <w:rsid w:val="00285709"/>
    <w:pPr>
      <w:keepNext/>
      <w:numPr>
        <w:ilvl w:val="2"/>
        <w:numId w:val="1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285709"/>
    <w:pPr>
      <w:keepNext/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285709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285709"/>
    <w:pPr>
      <w:keepNext/>
      <w:numPr>
        <w:ilvl w:val="5"/>
        <w:numId w:val="1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285709"/>
    <w:pPr>
      <w:keepNext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285709"/>
    <w:pPr>
      <w:keepNext/>
      <w:numPr>
        <w:ilvl w:val="7"/>
        <w:numId w:val="1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285709"/>
    <w:pPr>
      <w:keepNext/>
      <w:numPr>
        <w:ilvl w:val="8"/>
        <w:numId w:val="1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+ Char"/>
    <w:basedOn w:val="Standardnpsmoodstavce"/>
    <w:link w:val="Nadpis2"/>
    <w:rsid w:val="00285709"/>
    <w:rPr>
      <w:rFonts w:ascii="Arial" w:eastAsia="Times New Roman" w:hAnsi="Arial" w:cs="Times New Roman"/>
      <w:b/>
      <w:smallCaps/>
      <w:shadow/>
      <w:snapToGrid w:val="0"/>
      <w:color w:val="003366"/>
      <w:sz w:val="44"/>
      <w:szCs w:val="44"/>
      <w:lang w:eastAsia="cs-CZ"/>
    </w:rPr>
  </w:style>
  <w:style w:type="character" w:customStyle="1" w:styleId="Nadpis3Char">
    <w:name w:val="Nadpis 3 Char"/>
    <w:basedOn w:val="Standardnpsmoodstavce"/>
    <w:link w:val="Nadpis3"/>
    <w:rsid w:val="00285709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285709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285709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285709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285709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285709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285709"/>
    <w:rPr>
      <w:rFonts w:ascii="Arial Black" w:eastAsia="Times New Roman" w:hAnsi="Arial Black" w:cs="Times New Roman"/>
      <w:color w:val="000000"/>
      <w:sz w:val="7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5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7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aliases w:val="+"/>
    <w:basedOn w:val="Normln"/>
    <w:next w:val="Normln"/>
    <w:link w:val="Nadpis2Char"/>
    <w:qFormat/>
    <w:rsid w:val="00285709"/>
    <w:pPr>
      <w:keepNext/>
      <w:spacing w:before="360" w:after="180"/>
      <w:ind w:left="576"/>
      <w:outlineLvl w:val="1"/>
    </w:pPr>
    <w:rPr>
      <w:rFonts w:ascii="Arial" w:hAnsi="Arial"/>
      <w:b/>
      <w:smallCaps/>
      <w:shadow/>
      <w:snapToGrid w:val="0"/>
      <w:color w:val="003366"/>
      <w:sz w:val="44"/>
      <w:szCs w:val="44"/>
    </w:rPr>
  </w:style>
  <w:style w:type="paragraph" w:styleId="Nadpis3">
    <w:name w:val="heading 3"/>
    <w:basedOn w:val="Normln"/>
    <w:next w:val="Normln"/>
    <w:link w:val="Nadpis3Char"/>
    <w:qFormat/>
    <w:rsid w:val="00285709"/>
    <w:pPr>
      <w:keepNext/>
      <w:numPr>
        <w:ilvl w:val="2"/>
        <w:numId w:val="1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285709"/>
    <w:pPr>
      <w:keepNext/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285709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285709"/>
    <w:pPr>
      <w:keepNext/>
      <w:numPr>
        <w:ilvl w:val="5"/>
        <w:numId w:val="1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285709"/>
    <w:pPr>
      <w:keepNext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285709"/>
    <w:pPr>
      <w:keepNext/>
      <w:numPr>
        <w:ilvl w:val="7"/>
        <w:numId w:val="1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285709"/>
    <w:pPr>
      <w:keepNext/>
      <w:numPr>
        <w:ilvl w:val="8"/>
        <w:numId w:val="1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+ Char"/>
    <w:basedOn w:val="Standardnpsmoodstavce"/>
    <w:link w:val="Nadpis2"/>
    <w:rsid w:val="00285709"/>
    <w:rPr>
      <w:rFonts w:ascii="Arial" w:eastAsia="Times New Roman" w:hAnsi="Arial" w:cs="Times New Roman"/>
      <w:b/>
      <w:smallCaps/>
      <w:shadow/>
      <w:snapToGrid w:val="0"/>
      <w:color w:val="003366"/>
      <w:sz w:val="44"/>
      <w:szCs w:val="44"/>
      <w:lang w:eastAsia="cs-CZ"/>
    </w:rPr>
  </w:style>
  <w:style w:type="character" w:customStyle="1" w:styleId="Nadpis3Char">
    <w:name w:val="Nadpis 3 Char"/>
    <w:basedOn w:val="Standardnpsmoodstavce"/>
    <w:link w:val="Nadpis3"/>
    <w:rsid w:val="00285709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285709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285709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285709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285709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285709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285709"/>
    <w:rPr>
      <w:rFonts w:ascii="Arial Black" w:eastAsia="Times New Roman" w:hAnsi="Arial Black" w:cs="Times New Roman"/>
      <w:color w:val="000000"/>
      <w:sz w:val="7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KACR - Jitka Pagacova</dc:creator>
  <cp:lastModifiedBy>KACR - Jitka Pagacova</cp:lastModifiedBy>
  <cp:revision>1</cp:revision>
  <dcterms:created xsi:type="dcterms:W3CDTF">2020-03-18T08:39:00Z</dcterms:created>
  <dcterms:modified xsi:type="dcterms:W3CDTF">2020-03-18T08:40:00Z</dcterms:modified>
</cp:coreProperties>
</file>