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D5" w:rsidRPr="00CF47B2" w:rsidRDefault="00B354D5" w:rsidP="00B354D5">
      <w:pPr>
        <w:pStyle w:val="Nadpis2"/>
        <w:numPr>
          <w:ilvl w:val="1"/>
          <w:numId w:val="3"/>
        </w:numPr>
      </w:pPr>
      <w:bookmarkStart w:id="0" w:name="_Toc485715376"/>
      <w:bookmarkStart w:id="1" w:name="_Toc58751884"/>
      <w:bookmarkStart w:id="2" w:name="_Toc126057074"/>
      <w:bookmarkStart w:id="3" w:name="_Toc126057511"/>
      <w:bookmarkStart w:id="4" w:name="_Toc126057661"/>
      <w:bookmarkStart w:id="5" w:name="_Toc254863280"/>
      <w:r w:rsidRPr="00CF47B2">
        <w:t>Statistika</w:t>
      </w:r>
      <w:bookmarkEnd w:id="0"/>
      <w:r w:rsidRPr="00CF47B2">
        <w:t xml:space="preserve"> </w:t>
      </w:r>
      <w:bookmarkEnd w:id="1"/>
      <w:bookmarkEnd w:id="2"/>
      <w:bookmarkEnd w:id="3"/>
      <w:bookmarkEnd w:id="4"/>
      <w:bookmarkEnd w:id="5"/>
    </w:p>
    <w:p w:rsidR="00B354D5" w:rsidRPr="00CF47B2" w:rsidRDefault="00B354D5" w:rsidP="00B354D5">
      <w:pPr>
        <w:pStyle w:val="Nadpis3"/>
      </w:pPr>
      <w:bookmarkStart w:id="6" w:name="_Toc58751886"/>
      <w:bookmarkStart w:id="7" w:name="_Toc126057513"/>
      <w:bookmarkStart w:id="8" w:name="_Toc126057663"/>
      <w:bookmarkStart w:id="9" w:name="_Toc254863282"/>
      <w:bookmarkStart w:id="10" w:name="_Toc485715377"/>
      <w:r w:rsidRPr="00CF47B2">
        <w:t>Cíle a zaměření zkoušky</w:t>
      </w:r>
      <w:bookmarkEnd w:id="6"/>
      <w:bookmarkEnd w:id="7"/>
      <w:bookmarkEnd w:id="8"/>
      <w:bookmarkEnd w:id="9"/>
      <w:bookmarkEnd w:id="10"/>
    </w:p>
    <w:p w:rsidR="00B354D5" w:rsidRPr="00CF47B2" w:rsidRDefault="00B354D5" w:rsidP="00B354D5">
      <w:pPr>
        <w:spacing w:before="120"/>
        <w:jc w:val="both"/>
      </w:pPr>
      <w:r w:rsidRPr="00CF47B2">
        <w:t>Auditor by měl po úspěšném absolvování této části dílčí zkoušky:</w:t>
      </w:r>
    </w:p>
    <w:p w:rsidR="00B354D5" w:rsidRPr="00CF47B2" w:rsidRDefault="00B354D5" w:rsidP="00B354D5">
      <w:pPr>
        <w:numPr>
          <w:ilvl w:val="0"/>
          <w:numId w:val="4"/>
        </w:numPr>
        <w:spacing w:before="120"/>
        <w:jc w:val="both"/>
      </w:pPr>
      <w:r w:rsidRPr="00CF47B2">
        <w:t xml:space="preserve">být schopen využívat a interpretovat </w:t>
      </w:r>
      <w:r>
        <w:t>základní</w:t>
      </w:r>
      <w:r w:rsidRPr="00CF47B2">
        <w:t xml:space="preserve"> statistické charakteristiky, </w:t>
      </w:r>
    </w:p>
    <w:p w:rsidR="00B354D5" w:rsidRPr="00CF47B2" w:rsidRDefault="00B354D5" w:rsidP="00B354D5">
      <w:pPr>
        <w:numPr>
          <w:ilvl w:val="0"/>
          <w:numId w:val="4"/>
        </w:numPr>
        <w:spacing w:before="120"/>
        <w:jc w:val="both"/>
      </w:pPr>
      <w:r w:rsidRPr="00CF47B2">
        <w:t>zvládnout základní znalosti a techniky indexní analýzy, běžně používané v</w:t>
      </w:r>
      <w:r>
        <w:t> </w:t>
      </w:r>
      <w:r w:rsidRPr="00CF47B2">
        <w:t>ekonomické praxi</w:t>
      </w:r>
      <w:r>
        <w:t xml:space="preserve"> a v </w:t>
      </w:r>
      <w:r w:rsidRPr="00CF47B2">
        <w:t>hospodářské statistice,</w:t>
      </w:r>
    </w:p>
    <w:p w:rsidR="00B354D5" w:rsidRPr="00CF47B2" w:rsidRDefault="00B354D5" w:rsidP="00B354D5">
      <w:pPr>
        <w:numPr>
          <w:ilvl w:val="0"/>
          <w:numId w:val="4"/>
        </w:numPr>
        <w:spacing w:before="120"/>
        <w:jc w:val="both"/>
      </w:pPr>
      <w:r w:rsidRPr="00CF47B2">
        <w:t xml:space="preserve">porozumět </w:t>
      </w:r>
      <w:r>
        <w:t>elementárním p</w:t>
      </w:r>
      <w:r w:rsidRPr="00CF47B2">
        <w:t>ojmům z počtu pravděpodobnosti (náhodná veličina a</w:t>
      </w:r>
      <w:r>
        <w:t> </w:t>
      </w:r>
      <w:r w:rsidRPr="00CF47B2">
        <w:t>důležitá</w:t>
      </w:r>
      <w:r>
        <w:t xml:space="preserve"> </w:t>
      </w:r>
      <w:r w:rsidRPr="00CF47B2">
        <w:t xml:space="preserve">rozdělení </w:t>
      </w:r>
      <w:r>
        <w:t xml:space="preserve">náhodné veličiny </w:t>
      </w:r>
      <w:r w:rsidRPr="00CF47B2">
        <w:t xml:space="preserve">– binomické, </w:t>
      </w:r>
      <w:proofErr w:type="spellStart"/>
      <w:r w:rsidRPr="00CF47B2">
        <w:t>Poissonovo</w:t>
      </w:r>
      <w:proofErr w:type="spellEnd"/>
      <w:r w:rsidRPr="00CF47B2">
        <w:t xml:space="preserve">, normální), </w:t>
      </w:r>
    </w:p>
    <w:p w:rsidR="00B354D5" w:rsidRPr="00CF47B2" w:rsidRDefault="00B354D5" w:rsidP="00B354D5">
      <w:pPr>
        <w:numPr>
          <w:ilvl w:val="0"/>
          <w:numId w:val="4"/>
        </w:numPr>
        <w:spacing w:before="120"/>
        <w:jc w:val="both"/>
      </w:pPr>
      <w:r w:rsidRPr="00CF47B2">
        <w:t xml:space="preserve">prokázat dovednosti ve využívání </w:t>
      </w:r>
      <w:r>
        <w:t>základních</w:t>
      </w:r>
      <w:r w:rsidRPr="00CF47B2">
        <w:t xml:space="preserve"> technik statistické indukce (intervaly spolehlivosti pro </w:t>
      </w:r>
      <w:r>
        <w:t xml:space="preserve">odhad procentního </w:t>
      </w:r>
      <w:r w:rsidRPr="00CF47B2">
        <w:t>podíl</w:t>
      </w:r>
      <w:r>
        <w:t>u</w:t>
      </w:r>
      <w:r w:rsidRPr="00CF47B2">
        <w:t xml:space="preserve"> </w:t>
      </w:r>
      <w:r>
        <w:t xml:space="preserve">chybných účetních operací </w:t>
      </w:r>
      <w:r w:rsidRPr="00CF47B2">
        <w:t xml:space="preserve">a </w:t>
      </w:r>
      <w:r>
        <w:t xml:space="preserve">pro odhad </w:t>
      </w:r>
      <w:r w:rsidRPr="00CF47B2">
        <w:t>průměr</w:t>
      </w:r>
      <w:r>
        <w:t>u, resp. úhrnné chyby v zůstatku na účtu;</w:t>
      </w:r>
      <w:r w:rsidRPr="00CF47B2">
        <w:t xml:space="preserve"> testování statistických hypotéz</w:t>
      </w:r>
      <w:r>
        <w:t xml:space="preserve">, </w:t>
      </w:r>
      <w:proofErr w:type="spellStart"/>
      <w:r>
        <w:t>Benfordův</w:t>
      </w:r>
      <w:proofErr w:type="spellEnd"/>
      <w:r>
        <w:t xml:space="preserve"> test</w:t>
      </w:r>
      <w:r w:rsidRPr="00CF47B2">
        <w:t>),</w:t>
      </w:r>
    </w:p>
    <w:p w:rsidR="00B354D5" w:rsidRPr="00CF47B2" w:rsidRDefault="00B354D5" w:rsidP="00B354D5">
      <w:pPr>
        <w:numPr>
          <w:ilvl w:val="0"/>
          <w:numId w:val="4"/>
        </w:numPr>
        <w:spacing w:before="120"/>
        <w:jc w:val="both"/>
      </w:pPr>
      <w:r w:rsidRPr="00CF47B2">
        <w:t>zvládnout principy regresní a korelační analýzy a analýzy ekonomických časových řad (lineární regrese a korelace, pořadová korelace, trendová analýza, sezónní očišťování a jeho význam v ekonomických časových řadách),</w:t>
      </w:r>
    </w:p>
    <w:p w:rsidR="00B354D5" w:rsidRPr="00CF47B2" w:rsidRDefault="00B354D5" w:rsidP="00B354D5">
      <w:pPr>
        <w:numPr>
          <w:ilvl w:val="0"/>
          <w:numId w:val="4"/>
        </w:numPr>
        <w:spacing w:before="120"/>
        <w:jc w:val="both"/>
      </w:pPr>
      <w:r w:rsidRPr="00CF47B2">
        <w:t>obsáhnout elementární znalosti o systému národních účtů jako nástroje modelování národního hospodářství (institucionální sektory, odvětví, transakce, účty</w:t>
      </w:r>
      <w:r>
        <w:t>,</w:t>
      </w:r>
      <w:r w:rsidRPr="00CF47B2">
        <w:t xml:space="preserve"> účetní salda).</w:t>
      </w:r>
    </w:p>
    <w:p w:rsidR="00B354D5" w:rsidRPr="00CF47B2" w:rsidRDefault="00B354D5" w:rsidP="00B354D5">
      <w:pPr>
        <w:spacing w:before="120"/>
        <w:ind w:firstLine="360"/>
        <w:jc w:val="both"/>
      </w:pPr>
      <w:r w:rsidRPr="00CF47B2">
        <w:t xml:space="preserve">S podporou uvedených znalostí by měl být schopen (při formulaci cíle a způsobu provedení auditu) navrhnout provedení výběru vzorku účetních dokladů, určit nezbytně nutnou minimální velikost </w:t>
      </w:r>
      <w:r>
        <w:t xml:space="preserve">tohoto </w:t>
      </w:r>
      <w:r w:rsidRPr="00CF47B2">
        <w:t xml:space="preserve">vzorku, sestavit </w:t>
      </w:r>
      <w:r>
        <w:t>odpovídající</w:t>
      </w:r>
      <w:r w:rsidRPr="00CF47B2">
        <w:t xml:space="preserve"> vzorek položek nebo </w:t>
      </w:r>
      <w:r>
        <w:t xml:space="preserve">účetních </w:t>
      </w:r>
      <w:r w:rsidRPr="00CF47B2">
        <w:t>operací určených ke kontrole, odhadnout plánovanou míru rizika, resp. spolehlivosti zvoleného postupu, kvantifikovat velikost přípustné chyby jako funkci zvolené spolehlivosti a</w:t>
      </w:r>
      <w:r>
        <w:t> </w:t>
      </w:r>
      <w:r w:rsidRPr="00CF47B2">
        <w:t>rozsahu (velikosti) vzorku, zhodnotit výsledky auditu</w:t>
      </w:r>
      <w:r>
        <w:t>,</w:t>
      </w:r>
      <w:r w:rsidRPr="00CF47B2">
        <w:t xml:space="preserve"> získané na základě vzorku</w:t>
      </w:r>
      <w:r>
        <w:t>,</w:t>
      </w:r>
      <w:r w:rsidRPr="00CF47B2">
        <w:t xml:space="preserve"> a</w:t>
      </w:r>
      <w:r>
        <w:t> </w:t>
      </w:r>
      <w:r w:rsidRPr="00CF47B2">
        <w:t>eventuálně v případě potřeby prov</w:t>
      </w:r>
      <w:r>
        <w:t>ádět</w:t>
      </w:r>
      <w:r w:rsidRPr="00CF47B2">
        <w:t xml:space="preserve"> </w:t>
      </w:r>
      <w:r>
        <w:t xml:space="preserve">transparentní </w:t>
      </w:r>
      <w:r w:rsidRPr="00CF47B2">
        <w:t>korekci svého postupu</w:t>
      </w:r>
      <w:r>
        <w:t>,</w:t>
      </w:r>
      <w:r w:rsidRPr="00CF47B2">
        <w:t xml:space="preserve"> vedoucí ke zvýšení spolehlivosti dosažených výsledků.</w:t>
      </w:r>
    </w:p>
    <w:p w:rsidR="00B354D5" w:rsidRPr="00CF47B2" w:rsidRDefault="00B354D5" w:rsidP="00B354D5">
      <w:pPr>
        <w:spacing w:before="120"/>
        <w:ind w:firstLine="360"/>
        <w:jc w:val="both"/>
      </w:pPr>
      <w:r w:rsidRPr="00CF47B2">
        <w:t xml:space="preserve">Současně by měl znát a umět používat </w:t>
      </w:r>
      <w:r>
        <w:t>i</w:t>
      </w:r>
      <w:r w:rsidRPr="00CF47B2">
        <w:t xml:space="preserve"> nástroje a metody</w:t>
      </w:r>
      <w:r>
        <w:t>,</w:t>
      </w:r>
      <w:r w:rsidRPr="00CF47B2">
        <w:t xml:space="preserve"> používané </w:t>
      </w:r>
      <w:r>
        <w:t xml:space="preserve">běžně </w:t>
      </w:r>
      <w:r w:rsidRPr="00CF47B2">
        <w:t>v cenové statistice (v návaznosti např. na účetní operace spojené s valorizací předmětných částek hospodářských smluv a v návaznosti na právní aspekty valorizací v těch účetních případech, kde jde o změnu podmínek financování a účtování v důsledku vývoje spotřebitelských cen)</w:t>
      </w:r>
      <w:r>
        <w:t>. A </w:t>
      </w:r>
      <w:r w:rsidRPr="00CF47B2">
        <w:t xml:space="preserve">dále i postupy, využívající regresní analýzu, analýzu časových řad a národní účetnictví pro modelování </w:t>
      </w:r>
      <w:r>
        <w:t xml:space="preserve">principiálních </w:t>
      </w:r>
      <w:r w:rsidRPr="00CF47B2">
        <w:t>ekonomických vztahů.</w:t>
      </w:r>
    </w:p>
    <w:p w:rsidR="00B354D5" w:rsidRPr="00CF47B2" w:rsidRDefault="00B354D5" w:rsidP="00B354D5">
      <w:pPr>
        <w:spacing w:before="120"/>
        <w:ind w:firstLine="360"/>
        <w:jc w:val="both"/>
      </w:pPr>
      <w:r w:rsidRPr="00CF47B2">
        <w:t>Hlavní metodický a obsahový záměr výkladu statistických metod, potřebných pro výkon auditorské profese, je v souladu s dikcí příslušných auditorských směrnic: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 xml:space="preserve">vysvětlit důvody a cíle </w:t>
      </w:r>
      <w:r>
        <w:t>používání</w:t>
      </w:r>
      <w:r w:rsidRPr="00CF47B2">
        <w:t xml:space="preserve"> výběrových statistických metod při auditorských pracovních postupech a definovat faktory, které s výběrem </w:t>
      </w:r>
      <w:r>
        <w:t xml:space="preserve">a kvalitou </w:t>
      </w:r>
      <w:r w:rsidRPr="00CF47B2">
        <w:t>vzorku souvisí,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vymezit podmínky použitelnosti a vypovídací schopnost auditorských úsudků</w:t>
      </w:r>
      <w:r>
        <w:t>,</w:t>
      </w:r>
      <w:r w:rsidRPr="00CF47B2">
        <w:t xml:space="preserve"> provedených na základě výběrových metod včetně rizik a úskalí těchto postupů,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přiblížit věcné aspekty výběrových postupů a vysvětlit rozdíly mezi jednotlivými způsoby výběru jak z hlediska realizace výběru, tak z hlediska interpretace dosažených výsledků,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lastRenderedPageBreak/>
        <w:t>zhodnotit souhrnně kvalitu výsledků, pořízených výběrovými metodami, v auditu.</w:t>
      </w:r>
    </w:p>
    <w:p w:rsidR="00B354D5" w:rsidRPr="00CF47B2" w:rsidRDefault="00B354D5" w:rsidP="00B354D5">
      <w:pPr>
        <w:spacing w:before="120"/>
        <w:ind w:firstLine="360"/>
        <w:jc w:val="both"/>
      </w:pPr>
      <w:r w:rsidRPr="00CF47B2">
        <w:t>Pro uskutečnění uvedeného metodického a věcného záměru je třeba, aby uchazeči o certifikát auditorské profese zvládli studijní program s tímto obsahem: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základní popisné charakteristiky statistických souborů, zejména míry polohy a variability (s přihlédnutím ke zvláštnostem a odlišnostem v účetní a auditorské praxi),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techniky popisu a interpretace dynamiky průměrných cen a popisu průměrné dynamiky cen (v návaznosti na předchozí odsek v partii míry polohy),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pravděpodobnostní hlediska reprezentativních výběrových postupů,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praktické standardy výběrových postupů, odlišnosti mezi jednotlivými technikami,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vyhodnocování kvantitativních výsledků výběrů položek a operací a formulování kvalifikovaných auditorských závěrů,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principy a numerické postupy regresního a korelačního počtu</w:t>
      </w:r>
      <w:r>
        <w:t>,</w:t>
      </w:r>
      <w:r w:rsidRPr="00CF47B2">
        <w:t xml:space="preserve"> používané při popisu závislosti mezi ekonomickými ukazateli (např. mezi nákladovými položkami při různých podmínkách hospodaření firem – lineární regrese a korelace),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popis dlouhodobých vývojových tendencí chování časových řad ekonomických ukazatelů (zejména trendová analýza, sezónní očišťování),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 xml:space="preserve">národní účetnictví </w:t>
      </w:r>
      <w:r>
        <w:t>a jeho standardy:</w:t>
      </w:r>
      <w:r w:rsidRPr="00CF47B2">
        <w:t xml:space="preserve"> souvislosti a vazby makroekonomické teorie a</w:t>
      </w:r>
      <w:r>
        <w:t> </w:t>
      </w:r>
      <w:r w:rsidRPr="00CF47B2">
        <w:t>makroekonomického systému informací,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architektura systému národního účetnictví a konstrukce účtu sektorů a národního hospodářství,</w:t>
      </w:r>
    </w:p>
    <w:p w:rsidR="00B354D5" w:rsidRPr="00CF47B2" w:rsidRDefault="00B354D5" w:rsidP="00B354D5">
      <w:pPr>
        <w:numPr>
          <w:ilvl w:val="0"/>
          <w:numId w:val="1"/>
        </w:numPr>
        <w:spacing w:before="120"/>
        <w:jc w:val="both"/>
      </w:pPr>
      <w:r w:rsidRPr="00CF47B2">
        <w:t>základní makroekonomické agregáty a jejich vzájemné vazby.</w:t>
      </w:r>
    </w:p>
    <w:p w:rsidR="00B354D5" w:rsidRPr="00CF47B2" w:rsidRDefault="00B354D5" w:rsidP="00B354D5">
      <w:pPr>
        <w:pStyle w:val="Nadpis3"/>
      </w:pPr>
      <w:bookmarkStart w:id="11" w:name="_Toc58751887"/>
      <w:bookmarkStart w:id="12" w:name="_Toc126057514"/>
      <w:bookmarkStart w:id="13" w:name="_Toc126057664"/>
      <w:bookmarkStart w:id="14" w:name="_Toc254863283"/>
      <w:bookmarkStart w:id="15" w:name="_Toc485715378"/>
      <w:r w:rsidRPr="00CF47B2">
        <w:t>Vymezení témat</w:t>
      </w:r>
      <w:bookmarkEnd w:id="11"/>
      <w:bookmarkEnd w:id="12"/>
      <w:bookmarkEnd w:id="13"/>
      <w:bookmarkEnd w:id="14"/>
      <w:bookmarkEnd w:id="15"/>
    </w:p>
    <w:p w:rsidR="00B354D5" w:rsidRPr="00CF47B2" w:rsidRDefault="00B354D5" w:rsidP="00B354D5">
      <w:pPr>
        <w:numPr>
          <w:ilvl w:val="0"/>
          <w:numId w:val="5"/>
        </w:numPr>
        <w:spacing w:before="60"/>
        <w:ind w:hanging="357"/>
        <w:jc w:val="both"/>
        <w:rPr>
          <w:b/>
        </w:rPr>
      </w:pPr>
      <w:r w:rsidRPr="00CF47B2">
        <w:rPr>
          <w:b/>
        </w:rPr>
        <w:t>Význam použití statistických metod výběru vzorků v auditorské praxi</w:t>
      </w:r>
      <w:r>
        <w:rPr>
          <w:b/>
        </w:rPr>
        <w:t>, kontrola srovnáváním a kontrola měřením</w:t>
      </w:r>
      <w:r w:rsidRPr="00CF47B2">
        <w:rPr>
          <w:b/>
        </w:rPr>
        <w:t>.</w:t>
      </w:r>
    </w:p>
    <w:p w:rsidR="00B354D5" w:rsidRPr="00CF47B2" w:rsidRDefault="00B354D5" w:rsidP="00B354D5">
      <w:pPr>
        <w:numPr>
          <w:ilvl w:val="0"/>
          <w:numId w:val="5"/>
        </w:numPr>
        <w:spacing w:before="60"/>
        <w:ind w:hanging="357"/>
        <w:jc w:val="both"/>
        <w:rPr>
          <w:b/>
        </w:rPr>
      </w:pPr>
      <w:r w:rsidRPr="00CF47B2">
        <w:rPr>
          <w:b/>
        </w:rPr>
        <w:t>Metody výběru vzorku: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pravděpodobnostní metody výběru,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úsudkové metody výběru.</w:t>
      </w:r>
    </w:p>
    <w:p w:rsidR="00B354D5" w:rsidRPr="00CF47B2" w:rsidRDefault="00B354D5" w:rsidP="00B354D5">
      <w:pPr>
        <w:numPr>
          <w:ilvl w:val="0"/>
          <w:numId w:val="5"/>
        </w:numPr>
        <w:spacing w:before="60"/>
        <w:ind w:hanging="357"/>
        <w:jc w:val="both"/>
        <w:rPr>
          <w:b/>
        </w:rPr>
      </w:pPr>
      <w:r w:rsidRPr="00CF47B2">
        <w:rPr>
          <w:b/>
        </w:rPr>
        <w:t>Repetitorium: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základních statistických pojmů (kvantily, míry polohy, míry variability),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 xml:space="preserve">počtu pravděpodobnosti (náhodná veličina, binomické, </w:t>
      </w:r>
      <w:proofErr w:type="spellStart"/>
      <w:r w:rsidRPr="00CF47B2">
        <w:t>Poissonovo</w:t>
      </w:r>
      <w:proofErr w:type="spellEnd"/>
      <w:r w:rsidRPr="00CF47B2">
        <w:t xml:space="preserve"> a normální rozdělení, kvantily a distribuční funkce normovaného normálního rozdělení).</w:t>
      </w:r>
    </w:p>
    <w:p w:rsidR="00B354D5" w:rsidRPr="00CF47B2" w:rsidRDefault="00B354D5" w:rsidP="00B354D5">
      <w:pPr>
        <w:numPr>
          <w:ilvl w:val="0"/>
          <w:numId w:val="5"/>
        </w:numPr>
        <w:spacing w:before="60"/>
        <w:ind w:hanging="357"/>
        <w:jc w:val="both"/>
        <w:rPr>
          <w:b/>
        </w:rPr>
      </w:pPr>
      <w:r w:rsidRPr="00CF47B2">
        <w:rPr>
          <w:b/>
        </w:rPr>
        <w:t>Principy metod srovnávání (indexy, rozdíly), základy cenové statistiky: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klasifikace indexů,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souhrnné indexy a individuální složené indexy,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praxe cenových indexů v České republice a v Evropské unii</w:t>
      </w:r>
      <w:r>
        <w:t>, vliv na částky evidované v účetních systémech</w:t>
      </w:r>
      <w:r w:rsidRPr="00CF47B2">
        <w:t>.</w:t>
      </w:r>
    </w:p>
    <w:p w:rsidR="00B354D5" w:rsidRPr="00CF47B2" w:rsidRDefault="00B354D5" w:rsidP="00B354D5">
      <w:pPr>
        <w:spacing w:before="60"/>
        <w:ind w:left="363"/>
        <w:jc w:val="both"/>
      </w:pPr>
    </w:p>
    <w:p w:rsidR="00B354D5" w:rsidRPr="00CF47B2" w:rsidRDefault="00B354D5" w:rsidP="00B354D5">
      <w:pPr>
        <w:numPr>
          <w:ilvl w:val="0"/>
          <w:numId w:val="5"/>
        </w:numPr>
        <w:spacing w:before="60"/>
        <w:ind w:hanging="357"/>
        <w:jc w:val="both"/>
        <w:rPr>
          <w:b/>
        </w:rPr>
      </w:pPr>
      <w:r w:rsidRPr="00CF47B2">
        <w:rPr>
          <w:b/>
        </w:rPr>
        <w:t>Výběrové riziko a spolehlivost, interpretace výsledků: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přípustná chyba, intervaly spolehlivosti (konfidenční intervaly),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lastRenderedPageBreak/>
        <w:t>testy věcné a obsahové správnosti - riziko nesprávného odmítnutí (chyba I. druhu), riziko nesprávného přijetí (chyba II. druhu),</w:t>
      </w:r>
    </w:p>
    <w:p w:rsidR="00B354D5" w:rsidRPr="00CF47B2" w:rsidRDefault="00B354D5" w:rsidP="00B354D5">
      <w:pPr>
        <w:numPr>
          <w:ilvl w:val="0"/>
          <w:numId w:val="2"/>
        </w:numPr>
        <w:spacing w:before="60"/>
        <w:ind w:hanging="357"/>
        <w:jc w:val="both"/>
      </w:pPr>
      <w:r w:rsidRPr="00CF47B2">
        <w:t>rozhodovací matice testů spolehlivosti a věcné správnosti, hladina významnosti, síla testu.</w:t>
      </w:r>
    </w:p>
    <w:p w:rsidR="00B354D5" w:rsidRPr="00CF47B2" w:rsidRDefault="00B354D5" w:rsidP="00B354D5">
      <w:pPr>
        <w:numPr>
          <w:ilvl w:val="0"/>
          <w:numId w:val="5"/>
        </w:numPr>
        <w:spacing w:before="60"/>
        <w:ind w:left="357" w:hanging="357"/>
        <w:jc w:val="both"/>
        <w:rPr>
          <w:b/>
        </w:rPr>
      </w:pPr>
      <w:r w:rsidRPr="00CF47B2">
        <w:rPr>
          <w:b/>
        </w:rPr>
        <w:t>Určování minimálně nutné velikosti vzorku (při náhodném výběru) pro realizaci auditu.</w:t>
      </w:r>
    </w:p>
    <w:p w:rsidR="00B354D5" w:rsidRPr="00CF47B2" w:rsidRDefault="00B354D5" w:rsidP="00B354D5">
      <w:pPr>
        <w:numPr>
          <w:ilvl w:val="0"/>
          <w:numId w:val="5"/>
        </w:numPr>
        <w:spacing w:before="60"/>
        <w:ind w:left="357" w:hanging="357"/>
        <w:jc w:val="both"/>
        <w:rPr>
          <w:b/>
        </w:rPr>
      </w:pPr>
      <w:r w:rsidRPr="00CF47B2">
        <w:rPr>
          <w:b/>
        </w:rPr>
        <w:t>Standardní procedury odhadů a testů podílu a průměru auditorsky sledované vlastnosti při aplikaci peněžní i nepeněžní metody kontroly.</w:t>
      </w:r>
      <w:r>
        <w:rPr>
          <w:b/>
        </w:rPr>
        <w:t xml:space="preserve"> </w:t>
      </w:r>
      <w:proofErr w:type="spellStart"/>
      <w:r>
        <w:rPr>
          <w:b/>
        </w:rPr>
        <w:t>Benfordův</w:t>
      </w:r>
      <w:proofErr w:type="spellEnd"/>
      <w:r>
        <w:rPr>
          <w:b/>
        </w:rPr>
        <w:t xml:space="preserve"> test.</w:t>
      </w:r>
    </w:p>
    <w:p w:rsidR="00B354D5" w:rsidRPr="00CF47B2" w:rsidRDefault="00B354D5" w:rsidP="00B354D5">
      <w:pPr>
        <w:numPr>
          <w:ilvl w:val="0"/>
          <w:numId w:val="5"/>
        </w:numPr>
        <w:spacing w:before="60"/>
        <w:ind w:left="357"/>
        <w:jc w:val="both"/>
        <w:rPr>
          <w:b/>
        </w:rPr>
      </w:pPr>
      <w:r w:rsidRPr="00CF47B2">
        <w:rPr>
          <w:b/>
        </w:rPr>
        <w:t>Odhady parametrů regresní přímky – metoda nejmenších čtverců, korelační koeficient, koeficient pořadové korelace.</w:t>
      </w:r>
    </w:p>
    <w:p w:rsidR="00B354D5" w:rsidRDefault="00B354D5" w:rsidP="00B354D5">
      <w:pPr>
        <w:numPr>
          <w:ilvl w:val="0"/>
          <w:numId w:val="5"/>
        </w:numPr>
        <w:spacing w:before="60"/>
        <w:ind w:left="357"/>
        <w:jc w:val="both"/>
        <w:rPr>
          <w:b/>
        </w:rPr>
      </w:pPr>
      <w:r w:rsidRPr="00C17B8A">
        <w:rPr>
          <w:b/>
        </w:rPr>
        <w:t>Trendová analýza časových řad ekonomických ukazatelů, sezónní očišťování a jeho význam pro ekonomické analýzy.</w:t>
      </w:r>
    </w:p>
    <w:p w:rsidR="00B354D5" w:rsidRPr="00C17B8A" w:rsidRDefault="00B354D5" w:rsidP="00B354D5">
      <w:pPr>
        <w:numPr>
          <w:ilvl w:val="0"/>
          <w:numId w:val="5"/>
        </w:numPr>
        <w:spacing w:before="60"/>
        <w:ind w:left="357"/>
        <w:jc w:val="both"/>
        <w:rPr>
          <w:b/>
        </w:rPr>
      </w:pPr>
      <w:r w:rsidRPr="00C17B8A">
        <w:rPr>
          <w:b/>
          <w:bCs/>
        </w:rPr>
        <w:t>Systém národních účtů jako nástroj modelování národního hospodářství.</w:t>
      </w:r>
    </w:p>
    <w:p w:rsidR="00B354D5" w:rsidRPr="00CF47B2" w:rsidRDefault="00B354D5" w:rsidP="00B354D5">
      <w:pPr>
        <w:rPr>
          <w:b/>
        </w:rPr>
      </w:pPr>
    </w:p>
    <w:p w:rsidR="00B354D5" w:rsidRPr="00CF47B2" w:rsidRDefault="00B354D5" w:rsidP="00B354D5">
      <w:pPr>
        <w:pStyle w:val="Nadpis3"/>
      </w:pPr>
      <w:bookmarkStart w:id="16" w:name="_Toc58751888"/>
      <w:bookmarkStart w:id="17" w:name="_Toc126057515"/>
      <w:bookmarkStart w:id="18" w:name="_Toc126057665"/>
      <w:bookmarkStart w:id="19" w:name="_Toc254863284"/>
      <w:bookmarkStart w:id="20" w:name="_Toc485715379"/>
      <w:r w:rsidRPr="00CF47B2">
        <w:t>Literatura</w:t>
      </w:r>
      <w:bookmarkEnd w:id="16"/>
      <w:bookmarkEnd w:id="17"/>
      <w:bookmarkEnd w:id="18"/>
      <w:bookmarkEnd w:id="19"/>
      <w:bookmarkEnd w:id="20"/>
    </w:p>
    <w:p w:rsidR="00B354D5" w:rsidRPr="00BF7F4B" w:rsidRDefault="00B354D5" w:rsidP="00B354D5">
      <w:pPr>
        <w:pStyle w:val="Nadpis4"/>
        <w:numPr>
          <w:ilvl w:val="3"/>
          <w:numId w:val="3"/>
        </w:numPr>
      </w:pPr>
      <w:r w:rsidRPr="00BF7F4B">
        <w:t>Povinná:</w:t>
      </w:r>
    </w:p>
    <w:p w:rsidR="00B354D5" w:rsidRPr="00B354D5" w:rsidRDefault="00B354D5" w:rsidP="00B354D5">
      <w:pPr>
        <w:numPr>
          <w:ilvl w:val="0"/>
          <w:numId w:val="6"/>
        </w:numPr>
        <w:ind w:left="850" w:hanging="493"/>
        <w:jc w:val="both"/>
        <w:rPr>
          <w:color w:val="auto"/>
        </w:rPr>
      </w:pPr>
      <w:hyperlink r:id="rId6" w:tgtFrame="_blank" w:history="1">
        <w:r w:rsidRPr="00B354D5">
          <w:rPr>
            <w:color w:val="auto"/>
          </w:rPr>
          <w:t>HINDLS, Richard</w:t>
        </w:r>
      </w:hyperlink>
      <w:r w:rsidRPr="00B354D5">
        <w:rPr>
          <w:color w:val="auto"/>
        </w:rPr>
        <w:t xml:space="preserve">, </w:t>
      </w:r>
      <w:hyperlink r:id="rId7" w:tgtFrame="_blank" w:history="1">
        <w:r w:rsidRPr="00B354D5">
          <w:rPr>
            <w:color w:val="auto"/>
          </w:rPr>
          <w:t>ARLTOVÁ, Markéta</w:t>
        </w:r>
      </w:hyperlink>
      <w:r w:rsidRPr="00B354D5">
        <w:rPr>
          <w:color w:val="auto"/>
        </w:rPr>
        <w:t xml:space="preserve">, </w:t>
      </w:r>
      <w:hyperlink r:id="rId8" w:tgtFrame="_blank" w:history="1">
        <w:r w:rsidRPr="00B354D5">
          <w:rPr>
            <w:color w:val="auto"/>
          </w:rPr>
          <w:t>HRONOVÁ, Stanislava</w:t>
        </w:r>
      </w:hyperlink>
      <w:r w:rsidRPr="00B354D5">
        <w:rPr>
          <w:color w:val="auto"/>
        </w:rPr>
        <w:t xml:space="preserve">, </w:t>
      </w:r>
      <w:hyperlink r:id="rId9" w:tgtFrame="_blank" w:history="1">
        <w:r w:rsidRPr="00B354D5">
          <w:rPr>
            <w:color w:val="auto"/>
          </w:rPr>
          <w:t>MALÁ, Ivana</w:t>
        </w:r>
      </w:hyperlink>
      <w:r w:rsidRPr="00B354D5">
        <w:rPr>
          <w:color w:val="auto"/>
        </w:rPr>
        <w:t xml:space="preserve">, </w:t>
      </w:r>
      <w:hyperlink r:id="rId10" w:tgtFrame="_blank" w:history="1">
        <w:r w:rsidRPr="00B354D5">
          <w:rPr>
            <w:color w:val="auto"/>
          </w:rPr>
          <w:t>MAREK, Luboš</w:t>
        </w:r>
      </w:hyperlink>
      <w:r w:rsidRPr="00B354D5">
        <w:rPr>
          <w:color w:val="auto"/>
        </w:rPr>
        <w:t xml:space="preserve">, </w:t>
      </w:r>
      <w:hyperlink r:id="rId11" w:tgtFrame="_blank" w:history="1">
        <w:r w:rsidRPr="00B354D5">
          <w:rPr>
            <w:color w:val="auto"/>
          </w:rPr>
          <w:t>PECÁKOVÁ, Iva</w:t>
        </w:r>
      </w:hyperlink>
      <w:r w:rsidRPr="00B354D5">
        <w:rPr>
          <w:color w:val="auto"/>
        </w:rPr>
        <w:t xml:space="preserve">, </w:t>
      </w:r>
      <w:hyperlink r:id="rId12" w:tgtFrame="_blank" w:history="1">
        <w:r w:rsidRPr="00B354D5">
          <w:rPr>
            <w:color w:val="auto"/>
          </w:rPr>
          <w:t>ŘEZANKOVÁ, Hana</w:t>
        </w:r>
      </w:hyperlink>
      <w:r w:rsidRPr="00B354D5">
        <w:rPr>
          <w:color w:val="auto"/>
        </w:rPr>
        <w:t xml:space="preserve">. </w:t>
      </w:r>
      <w:r w:rsidRPr="00B354D5">
        <w:rPr>
          <w:i/>
          <w:iCs/>
          <w:color w:val="auto"/>
        </w:rPr>
        <w:t>Statistika v ekonomii</w:t>
      </w:r>
      <w:r w:rsidRPr="00B354D5">
        <w:rPr>
          <w:color w:val="auto"/>
        </w:rPr>
        <w:t xml:space="preserve">. 1. vyd. </w:t>
      </w:r>
      <w:proofErr w:type="gramStart"/>
      <w:r w:rsidRPr="00B354D5">
        <w:rPr>
          <w:color w:val="auto"/>
        </w:rPr>
        <w:t>Příbram : Professional</w:t>
      </w:r>
      <w:proofErr w:type="gramEnd"/>
      <w:r w:rsidRPr="00B354D5">
        <w:rPr>
          <w:color w:val="auto"/>
        </w:rPr>
        <w:t xml:space="preserve"> </w:t>
      </w:r>
      <w:proofErr w:type="spellStart"/>
      <w:r w:rsidRPr="00B354D5">
        <w:rPr>
          <w:color w:val="auto"/>
        </w:rPr>
        <w:t>Publishing</w:t>
      </w:r>
      <w:proofErr w:type="spellEnd"/>
      <w:r w:rsidRPr="00B354D5">
        <w:rPr>
          <w:color w:val="auto"/>
        </w:rPr>
        <w:t>, 2018. 395 s. ISBN 978-80-88260-09-7.</w:t>
      </w:r>
    </w:p>
    <w:p w:rsidR="00B354D5" w:rsidRPr="00B354D5" w:rsidRDefault="00B354D5" w:rsidP="00B354D5">
      <w:pPr>
        <w:numPr>
          <w:ilvl w:val="0"/>
          <w:numId w:val="6"/>
        </w:numPr>
        <w:spacing w:before="120"/>
        <w:ind w:left="850" w:hanging="493"/>
        <w:jc w:val="both"/>
        <w:rPr>
          <w:color w:val="auto"/>
        </w:rPr>
      </w:pPr>
      <w:hyperlink r:id="rId13" w:tgtFrame="_blank" w:history="1">
        <w:r w:rsidRPr="00B354D5">
          <w:rPr>
            <w:color w:val="auto"/>
          </w:rPr>
          <w:t>HRONOVÁ, Stanislava</w:t>
        </w:r>
      </w:hyperlink>
      <w:r w:rsidRPr="00B354D5">
        <w:rPr>
          <w:color w:val="auto"/>
        </w:rPr>
        <w:t xml:space="preserve">, </w:t>
      </w:r>
      <w:hyperlink r:id="rId14" w:tgtFrame="_blank" w:history="1">
        <w:r w:rsidRPr="00B354D5">
          <w:rPr>
            <w:color w:val="auto"/>
          </w:rPr>
          <w:t>SIXTA, Jaroslav</w:t>
        </w:r>
      </w:hyperlink>
      <w:r w:rsidRPr="00B354D5">
        <w:rPr>
          <w:color w:val="auto"/>
        </w:rPr>
        <w:t xml:space="preserve">, </w:t>
      </w:r>
      <w:hyperlink r:id="rId15" w:tgtFrame="_blank" w:history="1">
        <w:r w:rsidRPr="00B354D5">
          <w:rPr>
            <w:color w:val="auto"/>
          </w:rPr>
          <w:t>FISCHER, Jakub</w:t>
        </w:r>
      </w:hyperlink>
      <w:r w:rsidRPr="00B354D5">
        <w:rPr>
          <w:color w:val="auto"/>
        </w:rPr>
        <w:t xml:space="preserve">, </w:t>
      </w:r>
      <w:hyperlink r:id="rId16" w:tgtFrame="_blank" w:history="1">
        <w:r w:rsidRPr="00B354D5">
          <w:rPr>
            <w:color w:val="auto"/>
          </w:rPr>
          <w:t>HINDLS, Richard</w:t>
        </w:r>
      </w:hyperlink>
      <w:r w:rsidRPr="00B354D5">
        <w:rPr>
          <w:color w:val="auto"/>
        </w:rPr>
        <w:t xml:space="preserve">. </w:t>
      </w:r>
      <w:bookmarkStart w:id="21" w:name="_GoBack"/>
      <w:bookmarkEnd w:id="21"/>
      <w:r w:rsidRPr="00B354D5">
        <w:rPr>
          <w:i/>
          <w:iCs/>
          <w:color w:val="auto"/>
        </w:rPr>
        <w:t xml:space="preserve">Národní účetnictví </w:t>
      </w:r>
      <w:r w:rsidRPr="00B354D5">
        <w:rPr>
          <w:color w:val="auto"/>
        </w:rPr>
        <w:t>(</w:t>
      </w:r>
      <w:r w:rsidRPr="00B354D5">
        <w:rPr>
          <w:i/>
          <w:iCs/>
          <w:color w:val="auto"/>
        </w:rPr>
        <w:t>Od výroby k bohatství</w:t>
      </w:r>
      <w:r w:rsidRPr="00B354D5">
        <w:rPr>
          <w:color w:val="auto"/>
        </w:rPr>
        <w:t xml:space="preserve">). 1. vyd. </w:t>
      </w:r>
      <w:proofErr w:type="gramStart"/>
      <w:r w:rsidRPr="00B354D5">
        <w:rPr>
          <w:color w:val="auto"/>
        </w:rPr>
        <w:t>Praha : Nakladatelství</w:t>
      </w:r>
      <w:proofErr w:type="gramEnd"/>
      <w:r w:rsidRPr="00B354D5">
        <w:rPr>
          <w:color w:val="auto"/>
        </w:rPr>
        <w:t xml:space="preserve"> C. H. Beck, 2019. 401 s. ISBN 978-80-7400-738-5.</w:t>
      </w:r>
    </w:p>
    <w:p w:rsidR="00B354D5" w:rsidRPr="00B354D5" w:rsidRDefault="00B354D5" w:rsidP="00B354D5">
      <w:pPr>
        <w:pStyle w:val="Nadpis4"/>
        <w:numPr>
          <w:ilvl w:val="3"/>
          <w:numId w:val="3"/>
        </w:numPr>
        <w:rPr>
          <w:color w:val="auto"/>
        </w:rPr>
      </w:pPr>
      <w:r w:rsidRPr="00B354D5">
        <w:rPr>
          <w:color w:val="auto"/>
        </w:rPr>
        <w:t>Doporučená:</w:t>
      </w:r>
    </w:p>
    <w:bookmarkStart w:id="22" w:name="_Toc254863293"/>
    <w:bookmarkStart w:id="23" w:name="_Toc485715380"/>
    <w:p w:rsidR="00B354D5" w:rsidRPr="00B354D5" w:rsidRDefault="00B354D5" w:rsidP="00B354D5">
      <w:pPr>
        <w:numPr>
          <w:ilvl w:val="0"/>
          <w:numId w:val="6"/>
        </w:numPr>
        <w:spacing w:before="120"/>
        <w:ind w:left="850" w:hanging="493"/>
        <w:jc w:val="both"/>
        <w:rPr>
          <w:iCs/>
          <w:color w:val="auto"/>
        </w:rPr>
      </w:pPr>
      <w:r w:rsidRPr="00B354D5">
        <w:rPr>
          <w:iCs/>
          <w:color w:val="auto"/>
        </w:rPr>
        <w:fldChar w:fldCharType="begin"/>
      </w:r>
      <w:r w:rsidRPr="00B354D5">
        <w:rPr>
          <w:iCs/>
          <w:color w:val="auto"/>
        </w:rPr>
        <w:instrText xml:space="preserve"> HYPERLINK "https://eso.vse.cz/~sklenak/pcvse/pcvse-sfx.php?krestni=Libu%9Ae&amp;prijmeni=M%FCllerov%E1&amp;katedra=KFU" \t "_blank" </w:instrText>
      </w:r>
      <w:r w:rsidRPr="00B354D5">
        <w:rPr>
          <w:iCs/>
          <w:color w:val="auto"/>
        </w:rPr>
        <w:fldChar w:fldCharType="separate"/>
      </w:r>
      <w:r w:rsidRPr="00B354D5">
        <w:rPr>
          <w:iCs/>
          <w:color w:val="auto"/>
        </w:rPr>
        <w:t>MÜLLEROVÁ, Libuše</w:t>
      </w:r>
      <w:r w:rsidRPr="00B354D5">
        <w:rPr>
          <w:iCs/>
          <w:color w:val="auto"/>
        </w:rPr>
        <w:fldChar w:fldCharType="end"/>
      </w:r>
      <w:r w:rsidRPr="00B354D5">
        <w:rPr>
          <w:iCs/>
          <w:color w:val="auto"/>
        </w:rPr>
        <w:t xml:space="preserve">, </w:t>
      </w:r>
      <w:hyperlink r:id="rId17" w:tgtFrame="_blank" w:history="1">
        <w:r w:rsidRPr="00B354D5">
          <w:rPr>
            <w:iCs/>
            <w:color w:val="auto"/>
          </w:rPr>
          <w:t>KRÁLÍČEK, Vladimír</w:t>
        </w:r>
      </w:hyperlink>
      <w:r w:rsidRPr="00B354D5">
        <w:rPr>
          <w:iCs/>
          <w:color w:val="auto"/>
        </w:rPr>
        <w:t xml:space="preserve">, </w:t>
      </w:r>
      <w:hyperlink r:id="rId18" w:tgtFrame="_blank" w:history="1">
        <w:r w:rsidRPr="00B354D5">
          <w:rPr>
            <w:iCs/>
            <w:color w:val="auto"/>
          </w:rPr>
          <w:t>HINDLS, Richard</w:t>
        </w:r>
      </w:hyperlink>
      <w:r w:rsidRPr="00B354D5">
        <w:rPr>
          <w:iCs/>
          <w:color w:val="auto"/>
        </w:rPr>
        <w:t xml:space="preserve">, </w:t>
      </w:r>
      <w:hyperlink r:id="rId19" w:tgtFrame="_blank" w:history="1">
        <w:r w:rsidRPr="00B354D5">
          <w:rPr>
            <w:iCs/>
            <w:color w:val="auto"/>
          </w:rPr>
          <w:t>HRONOVÁ, Stanislava</w:t>
        </w:r>
      </w:hyperlink>
      <w:r w:rsidRPr="00B354D5">
        <w:rPr>
          <w:iCs/>
          <w:color w:val="auto"/>
        </w:rPr>
        <w:t xml:space="preserve">, </w:t>
      </w:r>
      <w:hyperlink r:id="rId20" w:tgtFrame="_blank" w:history="1">
        <w:r w:rsidRPr="00B354D5">
          <w:rPr>
            <w:iCs/>
            <w:color w:val="auto"/>
          </w:rPr>
          <w:t>ŠINDELÁŘ, Michal</w:t>
        </w:r>
      </w:hyperlink>
      <w:r w:rsidRPr="00B354D5">
        <w:rPr>
          <w:iCs/>
          <w:color w:val="auto"/>
        </w:rPr>
        <w:t xml:space="preserve">, KŘÍŽ, Petr. </w:t>
      </w:r>
      <w:r w:rsidRPr="00B354D5">
        <w:rPr>
          <w:color w:val="auto"/>
        </w:rPr>
        <w:t>Auditing</w:t>
      </w:r>
      <w:r w:rsidRPr="00B354D5">
        <w:rPr>
          <w:iCs/>
          <w:color w:val="auto"/>
        </w:rPr>
        <w:t xml:space="preserve">. 2. přepracované vyd. </w:t>
      </w:r>
      <w:proofErr w:type="gramStart"/>
      <w:r w:rsidRPr="00B354D5">
        <w:rPr>
          <w:iCs/>
          <w:color w:val="auto"/>
        </w:rPr>
        <w:t xml:space="preserve">Praha : </w:t>
      </w:r>
      <w:proofErr w:type="spellStart"/>
      <w:r w:rsidRPr="00B354D5">
        <w:rPr>
          <w:iCs/>
          <w:color w:val="auto"/>
        </w:rPr>
        <w:t>Oeconomica</w:t>
      </w:r>
      <w:proofErr w:type="spellEnd"/>
      <w:proofErr w:type="gramEnd"/>
      <w:r w:rsidRPr="00B354D5">
        <w:rPr>
          <w:iCs/>
          <w:color w:val="auto"/>
        </w:rPr>
        <w:t>, 2017. 388 s. ISBN 978-80-245-2233-3.</w:t>
      </w:r>
    </w:p>
    <w:p w:rsidR="00B354D5" w:rsidRPr="00CF47B2" w:rsidRDefault="00B354D5" w:rsidP="00B354D5">
      <w:pPr>
        <w:pStyle w:val="Nadpis3"/>
      </w:pPr>
      <w:r w:rsidRPr="00CF47B2">
        <w:t>Pomůcky u zkoušky</w:t>
      </w:r>
      <w:bookmarkEnd w:id="22"/>
      <w:bookmarkEnd w:id="23"/>
    </w:p>
    <w:p w:rsidR="00B354D5" w:rsidRPr="00CF47B2" w:rsidRDefault="00B354D5" w:rsidP="00B354D5">
      <w:pPr>
        <w:numPr>
          <w:ilvl w:val="0"/>
          <w:numId w:val="7"/>
        </w:numPr>
        <w:spacing w:before="120"/>
        <w:jc w:val="both"/>
      </w:pPr>
      <w:r w:rsidRPr="00CF47B2">
        <w:t xml:space="preserve">Jako pomůcky lze využít jen kalkulačku (ne počítač, PDA, elektronický diář </w:t>
      </w:r>
      <w:proofErr w:type="spellStart"/>
      <w:r w:rsidRPr="00CF47B2">
        <w:t>smartphone</w:t>
      </w:r>
      <w:proofErr w:type="spellEnd"/>
      <w:r w:rsidRPr="00CF47B2">
        <w:t xml:space="preserve"> apod.) a psací potřeby. Kalkulačka by měla umožňovat provádění i složitějších operací (např. logaritmov</w:t>
      </w:r>
      <w:r>
        <w:t>ání</w:t>
      </w:r>
      <w:r w:rsidRPr="00CF47B2">
        <w:t>, umocňov</w:t>
      </w:r>
      <w:r>
        <w:t>ání apod.).</w:t>
      </w:r>
    </w:p>
    <w:p w:rsidR="00B354D5" w:rsidRDefault="00B354D5" w:rsidP="00B354D5">
      <w:pPr>
        <w:numPr>
          <w:ilvl w:val="0"/>
          <w:numId w:val="7"/>
        </w:numPr>
        <w:spacing w:before="120"/>
        <w:jc w:val="both"/>
      </w:pPr>
      <w:r w:rsidRPr="00CF47B2">
        <w:t>Před zahájením zkoušky každý uchazeč obdrží od asistentů KAČR ještě statistické tabulky, jichž může libovolně používat.</w:t>
      </w:r>
    </w:p>
    <w:p w:rsidR="00B354D5" w:rsidRPr="00CF47B2" w:rsidRDefault="00B354D5" w:rsidP="00B354D5">
      <w:pPr>
        <w:numPr>
          <w:ilvl w:val="0"/>
          <w:numId w:val="7"/>
        </w:numPr>
        <w:spacing w:before="120"/>
        <w:jc w:val="both"/>
      </w:pPr>
      <w:r>
        <w:t>Seznam vzorců ani jiná podobná pomůcka nejsou přípustné.</w:t>
      </w:r>
    </w:p>
    <w:p w:rsidR="00B354D5" w:rsidRPr="00CF47B2" w:rsidRDefault="00B354D5" w:rsidP="00B354D5">
      <w:pPr>
        <w:pStyle w:val="Nadpis3"/>
      </w:pPr>
      <w:bookmarkStart w:id="24" w:name="_Toc254863294"/>
      <w:bookmarkStart w:id="25" w:name="_Toc485715381"/>
      <w:r w:rsidRPr="00CF47B2">
        <w:t>Průběh a podmínky zkoušky</w:t>
      </w:r>
      <w:bookmarkEnd w:id="24"/>
      <w:bookmarkEnd w:id="25"/>
    </w:p>
    <w:p w:rsidR="00B354D5" w:rsidRPr="00CF47B2" w:rsidRDefault="00B354D5" w:rsidP="00B354D5">
      <w:pPr>
        <w:rPr>
          <w:b/>
        </w:rPr>
      </w:pPr>
      <w:r w:rsidRPr="00CF47B2">
        <w:rPr>
          <w:b/>
        </w:rPr>
        <w:t>Oblast statistiky je zkoušena písemně a skládá se z příkladů a otázek:</w:t>
      </w:r>
    </w:p>
    <w:p w:rsidR="00B354D5" w:rsidRPr="00CF47B2" w:rsidRDefault="00B354D5" w:rsidP="00B354D5">
      <w:pPr>
        <w:numPr>
          <w:ilvl w:val="0"/>
          <w:numId w:val="8"/>
        </w:numPr>
        <w:spacing w:before="120"/>
        <w:jc w:val="both"/>
      </w:pPr>
      <w:r w:rsidRPr="00CF47B2">
        <w:t xml:space="preserve">Soubor zvolených příkladů a otázek je ohodnocen celkově na </w:t>
      </w:r>
      <w:r>
        <w:t>10</w:t>
      </w:r>
      <w:r w:rsidRPr="00CF47B2">
        <w:t xml:space="preserve">0 bodů. Uchazeč řeší celkem sedm praktických příkladů a pět teoretických otázek. Bodové ohodnocení je </w:t>
      </w:r>
      <w:r w:rsidRPr="00CF47B2">
        <w:lastRenderedPageBreak/>
        <w:t xml:space="preserve">uvedeno v textu zadání a činí: </w:t>
      </w:r>
      <w:r>
        <w:t>10</w:t>
      </w:r>
      <w:r w:rsidRPr="00CF47B2">
        <w:t xml:space="preserve"> bodů za každý příklad (tj. celkem </w:t>
      </w:r>
      <w:r>
        <w:t>70</w:t>
      </w:r>
      <w:r w:rsidRPr="00CF47B2">
        <w:t xml:space="preserve"> bodů) a </w:t>
      </w:r>
      <w:r>
        <w:t>6</w:t>
      </w:r>
      <w:r w:rsidRPr="00CF47B2">
        <w:t xml:space="preserve"> bod</w:t>
      </w:r>
      <w:r>
        <w:t>ů</w:t>
      </w:r>
      <w:r w:rsidRPr="00CF47B2">
        <w:t xml:space="preserve"> za každou otázku (tj. celkem </w:t>
      </w:r>
      <w:r>
        <w:t>30</w:t>
      </w:r>
      <w:r w:rsidRPr="00CF47B2">
        <w:t xml:space="preserve"> bodů).</w:t>
      </w:r>
    </w:p>
    <w:p w:rsidR="00B354D5" w:rsidRPr="00CF47B2" w:rsidRDefault="00B354D5" w:rsidP="00B354D5">
      <w:pPr>
        <w:numPr>
          <w:ilvl w:val="0"/>
          <w:numId w:val="8"/>
        </w:numPr>
        <w:spacing w:before="120"/>
        <w:jc w:val="both"/>
      </w:pPr>
      <w:r w:rsidRPr="00CF47B2">
        <w:t xml:space="preserve">Adept vepíše svá řešení příkladů, resp. své odpovědi na otázky do vyznačeného rámečku na předepsaném formuláři, který má kódové označení a který obdrží </w:t>
      </w:r>
      <w:r>
        <w:t>pře</w:t>
      </w:r>
      <w:r w:rsidRPr="00CF47B2">
        <w:t xml:space="preserve">d začátkem zkoušky. Při nedostatku místa </w:t>
      </w:r>
      <w:r>
        <w:t xml:space="preserve">si lze </w:t>
      </w:r>
      <w:r w:rsidRPr="00CF47B2">
        <w:t>vyžád</w:t>
      </w:r>
      <w:r>
        <w:t>at</w:t>
      </w:r>
      <w:r w:rsidRPr="00CF47B2">
        <w:t xml:space="preserve"> další označený papír od asistentů KAČR.</w:t>
      </w:r>
    </w:p>
    <w:p w:rsidR="00B354D5" w:rsidRPr="00CF47B2" w:rsidRDefault="00B354D5" w:rsidP="00B354D5">
      <w:pPr>
        <w:spacing w:before="120"/>
        <w:ind w:left="360"/>
        <w:jc w:val="both"/>
      </w:pPr>
      <w:r w:rsidRPr="00CF47B2">
        <w:t xml:space="preserve">Celkový čistý časový limit písemné zkoušky ze statistických metod je </w:t>
      </w:r>
      <w:r>
        <w:t>maximálně</w:t>
      </w:r>
      <w:r w:rsidRPr="00CF47B2">
        <w:t xml:space="preserve"> 120 min</w:t>
      </w:r>
      <w:r>
        <w:t>ut</w:t>
      </w:r>
      <w:r w:rsidRPr="00CF47B2">
        <w:t>.</w:t>
      </w:r>
    </w:p>
    <w:p w:rsidR="00937B10" w:rsidRDefault="00B354D5"/>
    <w:sectPr w:rsidR="0093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70B"/>
    <w:multiLevelType w:val="hybridMultilevel"/>
    <w:tmpl w:val="57D4F170"/>
    <w:lvl w:ilvl="0" w:tplc="0405000B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EF0CEB"/>
    <w:multiLevelType w:val="hybridMultilevel"/>
    <w:tmpl w:val="8398ED5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F266B"/>
    <w:multiLevelType w:val="hybridMultilevel"/>
    <w:tmpl w:val="E86C06E8"/>
    <w:lvl w:ilvl="0" w:tplc="04050011">
      <w:start w:val="1"/>
      <w:numFmt w:val="decimal"/>
      <w:lvlText w:val="[%1]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40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10600B"/>
    <w:multiLevelType w:val="hybridMultilevel"/>
    <w:tmpl w:val="BE9611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 w:tplc="66847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A12F2"/>
    <w:multiLevelType w:val="hybridMultilevel"/>
    <w:tmpl w:val="D9C4F5F8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0CB"/>
    <w:multiLevelType w:val="multilevel"/>
    <w:tmpl w:val="E602695E"/>
    <w:lvl w:ilvl="0">
      <w:start w:val="1"/>
      <w:numFmt w:val="upperLetter"/>
      <w:lvlText w:val="%1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CEF55AE"/>
    <w:multiLevelType w:val="hybridMultilevel"/>
    <w:tmpl w:val="853CCA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07512"/>
    <w:multiLevelType w:val="hybridMultilevel"/>
    <w:tmpl w:val="E41EF4D0"/>
    <w:lvl w:ilvl="0" w:tplc="0405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5"/>
    <w:rsid w:val="00354E99"/>
    <w:rsid w:val="00B354D5"/>
    <w:rsid w:val="00BB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B354D5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B354D5"/>
    <w:pPr>
      <w:keepNext/>
      <w:numPr>
        <w:ilvl w:val="2"/>
        <w:numId w:val="3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B354D5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B354D5"/>
    <w:pPr>
      <w:keepNext/>
      <w:numPr>
        <w:ilvl w:val="4"/>
        <w:numId w:val="3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B354D5"/>
    <w:pPr>
      <w:keepNext/>
      <w:numPr>
        <w:ilvl w:val="5"/>
        <w:numId w:val="3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B354D5"/>
    <w:pPr>
      <w:keepNext/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B354D5"/>
    <w:pPr>
      <w:keepNext/>
      <w:numPr>
        <w:ilvl w:val="7"/>
        <w:numId w:val="3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B354D5"/>
    <w:pPr>
      <w:keepNext/>
      <w:numPr>
        <w:ilvl w:val="8"/>
        <w:numId w:val="3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B354D5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B354D5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B354D5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B354D5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354D5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B354D5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B354D5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B354D5"/>
    <w:rPr>
      <w:rFonts w:ascii="Arial Black" w:eastAsia="Times New Roman" w:hAnsi="Arial Black" w:cs="Times New Roman"/>
      <w:color w:val="000000"/>
      <w:sz w:val="7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4D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aliases w:val="+"/>
    <w:basedOn w:val="Normln"/>
    <w:next w:val="Normln"/>
    <w:link w:val="Nadpis2Char"/>
    <w:qFormat/>
    <w:rsid w:val="00B354D5"/>
    <w:pPr>
      <w:keepNext/>
      <w:spacing w:before="360" w:after="180"/>
      <w:ind w:left="576"/>
      <w:outlineLvl w:val="1"/>
    </w:pPr>
    <w:rPr>
      <w:rFonts w:ascii="Arial" w:hAnsi="Arial"/>
      <w:b/>
      <w:smallCaps/>
      <w:shadow/>
      <w:snapToGrid w:val="0"/>
      <w:color w:val="003366"/>
      <w:sz w:val="44"/>
      <w:szCs w:val="44"/>
    </w:rPr>
  </w:style>
  <w:style w:type="paragraph" w:styleId="Nadpis3">
    <w:name w:val="heading 3"/>
    <w:basedOn w:val="Normln"/>
    <w:next w:val="Normln"/>
    <w:link w:val="Nadpis3Char"/>
    <w:qFormat/>
    <w:rsid w:val="00B354D5"/>
    <w:pPr>
      <w:keepNext/>
      <w:numPr>
        <w:ilvl w:val="2"/>
        <w:numId w:val="3"/>
      </w:numPr>
      <w:spacing w:before="360" w:after="180"/>
      <w:outlineLvl w:val="2"/>
    </w:pPr>
    <w:rPr>
      <w:rFonts w:ascii="Arial" w:hAnsi="Arial" w:cs="Arial"/>
      <w:b/>
      <w:color w:val="003366"/>
      <w:sz w:val="36"/>
      <w:szCs w:val="70"/>
    </w:rPr>
  </w:style>
  <w:style w:type="paragraph" w:styleId="Nadpis4">
    <w:name w:val="heading 4"/>
    <w:basedOn w:val="Normln"/>
    <w:next w:val="Normln"/>
    <w:link w:val="Nadpis4Char"/>
    <w:qFormat/>
    <w:rsid w:val="00B354D5"/>
    <w:pPr>
      <w:keepNext/>
      <w:tabs>
        <w:tab w:val="left" w:pos="900"/>
      </w:tabs>
      <w:spacing w:before="240" w:after="120"/>
      <w:outlineLvl w:val="3"/>
    </w:pPr>
    <w:rPr>
      <w:rFonts w:ascii="Arial" w:hAnsi="Arial"/>
      <w:b/>
      <w:color w:val="003366"/>
      <w:sz w:val="32"/>
      <w:szCs w:val="70"/>
    </w:rPr>
  </w:style>
  <w:style w:type="paragraph" w:styleId="Nadpis5">
    <w:name w:val="heading 5"/>
    <w:basedOn w:val="Normln"/>
    <w:next w:val="Normln"/>
    <w:link w:val="Nadpis5Char"/>
    <w:qFormat/>
    <w:rsid w:val="00B354D5"/>
    <w:pPr>
      <w:keepNext/>
      <w:numPr>
        <w:ilvl w:val="4"/>
        <w:numId w:val="3"/>
      </w:numPr>
      <w:jc w:val="center"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B354D5"/>
    <w:pPr>
      <w:keepNext/>
      <w:numPr>
        <w:ilvl w:val="5"/>
        <w:numId w:val="3"/>
      </w:numPr>
      <w:jc w:val="center"/>
      <w:outlineLvl w:val="5"/>
    </w:pPr>
    <w:rPr>
      <w:b/>
      <w:bCs/>
      <w:sz w:val="36"/>
      <w:szCs w:val="36"/>
    </w:rPr>
  </w:style>
  <w:style w:type="paragraph" w:styleId="Nadpis7">
    <w:name w:val="heading 7"/>
    <w:basedOn w:val="Normln"/>
    <w:next w:val="Normln"/>
    <w:link w:val="Nadpis7Char"/>
    <w:qFormat/>
    <w:rsid w:val="00B354D5"/>
    <w:pPr>
      <w:keepNext/>
      <w:numPr>
        <w:ilvl w:val="6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center"/>
      <w:outlineLvl w:val="6"/>
    </w:pPr>
    <w:rPr>
      <w:rFonts w:ascii="Arial Black" w:hAnsi="Arial Black"/>
      <w:sz w:val="60"/>
    </w:rPr>
  </w:style>
  <w:style w:type="paragraph" w:styleId="Nadpis8">
    <w:name w:val="heading 8"/>
    <w:basedOn w:val="Normln"/>
    <w:next w:val="Normln"/>
    <w:link w:val="Nadpis8Char"/>
    <w:qFormat/>
    <w:rsid w:val="00B354D5"/>
    <w:pPr>
      <w:keepNext/>
      <w:numPr>
        <w:ilvl w:val="7"/>
        <w:numId w:val="3"/>
      </w:numPr>
      <w:shd w:val="clear" w:color="auto" w:fill="D9D9D9"/>
      <w:jc w:val="center"/>
      <w:outlineLvl w:val="7"/>
    </w:pPr>
    <w:rPr>
      <w:rFonts w:ascii="Arial Black" w:hAnsi="Arial Black"/>
      <w:sz w:val="60"/>
      <w:szCs w:val="70"/>
    </w:rPr>
  </w:style>
  <w:style w:type="paragraph" w:styleId="Nadpis9">
    <w:name w:val="heading 9"/>
    <w:basedOn w:val="Normln"/>
    <w:next w:val="Normln"/>
    <w:link w:val="Nadpis9Char"/>
    <w:qFormat/>
    <w:rsid w:val="00B354D5"/>
    <w:pPr>
      <w:keepNext/>
      <w:numPr>
        <w:ilvl w:val="8"/>
        <w:numId w:val="3"/>
      </w:numPr>
      <w:spacing w:before="240"/>
      <w:jc w:val="center"/>
      <w:outlineLvl w:val="8"/>
    </w:pPr>
    <w:rPr>
      <w:rFonts w:ascii="Arial Black" w:hAnsi="Arial Black"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+ Char"/>
    <w:basedOn w:val="Standardnpsmoodstavce"/>
    <w:link w:val="Nadpis2"/>
    <w:rsid w:val="00B354D5"/>
    <w:rPr>
      <w:rFonts w:ascii="Arial" w:eastAsia="Times New Roman" w:hAnsi="Arial" w:cs="Times New Roman"/>
      <w:b/>
      <w:smallCaps/>
      <w:shadow/>
      <w:snapToGrid w:val="0"/>
      <w:color w:val="003366"/>
      <w:sz w:val="44"/>
      <w:szCs w:val="44"/>
      <w:lang w:eastAsia="cs-CZ"/>
    </w:rPr>
  </w:style>
  <w:style w:type="character" w:customStyle="1" w:styleId="Nadpis3Char">
    <w:name w:val="Nadpis 3 Char"/>
    <w:basedOn w:val="Standardnpsmoodstavce"/>
    <w:link w:val="Nadpis3"/>
    <w:rsid w:val="00B354D5"/>
    <w:rPr>
      <w:rFonts w:ascii="Arial" w:eastAsia="Times New Roman" w:hAnsi="Arial" w:cs="Arial"/>
      <w:b/>
      <w:color w:val="003366"/>
      <w:sz w:val="36"/>
      <w:szCs w:val="70"/>
      <w:lang w:eastAsia="cs-CZ"/>
    </w:rPr>
  </w:style>
  <w:style w:type="character" w:customStyle="1" w:styleId="Nadpis4Char">
    <w:name w:val="Nadpis 4 Char"/>
    <w:basedOn w:val="Standardnpsmoodstavce"/>
    <w:link w:val="Nadpis4"/>
    <w:rsid w:val="00B354D5"/>
    <w:rPr>
      <w:rFonts w:ascii="Arial" w:eastAsia="Times New Roman" w:hAnsi="Arial" w:cs="Times New Roman"/>
      <w:b/>
      <w:color w:val="003366"/>
      <w:sz w:val="32"/>
      <w:szCs w:val="70"/>
      <w:lang w:eastAsia="cs-CZ"/>
    </w:rPr>
  </w:style>
  <w:style w:type="character" w:customStyle="1" w:styleId="Nadpis5Char">
    <w:name w:val="Nadpis 5 Char"/>
    <w:basedOn w:val="Standardnpsmoodstavce"/>
    <w:link w:val="Nadpis5"/>
    <w:rsid w:val="00B354D5"/>
    <w:rPr>
      <w:rFonts w:ascii="Times New Roman" w:eastAsia="Times New Roman" w:hAnsi="Times New Roman" w:cs="Times New Roman"/>
      <w:color w:val="000000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354D5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  <w:style w:type="character" w:customStyle="1" w:styleId="Nadpis7Char">
    <w:name w:val="Nadpis 7 Char"/>
    <w:basedOn w:val="Standardnpsmoodstavce"/>
    <w:link w:val="Nadpis7"/>
    <w:rsid w:val="00B354D5"/>
    <w:rPr>
      <w:rFonts w:ascii="Arial Black" w:eastAsia="Times New Roman" w:hAnsi="Arial Black" w:cs="Times New Roman"/>
      <w:color w:val="000000"/>
      <w:sz w:val="60"/>
      <w:szCs w:val="24"/>
      <w:shd w:val="clear" w:color="auto" w:fill="E0E0E0"/>
      <w:lang w:eastAsia="cs-CZ"/>
    </w:rPr>
  </w:style>
  <w:style w:type="character" w:customStyle="1" w:styleId="Nadpis8Char">
    <w:name w:val="Nadpis 8 Char"/>
    <w:basedOn w:val="Standardnpsmoodstavce"/>
    <w:link w:val="Nadpis8"/>
    <w:rsid w:val="00B354D5"/>
    <w:rPr>
      <w:rFonts w:ascii="Arial Black" w:eastAsia="Times New Roman" w:hAnsi="Arial Black" w:cs="Times New Roman"/>
      <w:color w:val="000000"/>
      <w:sz w:val="60"/>
      <w:szCs w:val="70"/>
      <w:shd w:val="clear" w:color="auto" w:fill="D9D9D9"/>
      <w:lang w:eastAsia="cs-CZ"/>
    </w:rPr>
  </w:style>
  <w:style w:type="character" w:customStyle="1" w:styleId="Nadpis9Char">
    <w:name w:val="Nadpis 9 Char"/>
    <w:basedOn w:val="Standardnpsmoodstavce"/>
    <w:link w:val="Nadpis9"/>
    <w:rsid w:val="00B354D5"/>
    <w:rPr>
      <w:rFonts w:ascii="Arial Black" w:eastAsia="Times New Roman" w:hAnsi="Arial Black" w:cs="Times New Roman"/>
      <w:color w:val="000000"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.vse.cz/~sklenak/pcvse/pcvse-sfx.php?krestni=Stanislava&amp;prijmeni=Hronov%E1&amp;katedra=KEST" TargetMode="External"/><Relationship Id="rId13" Type="http://schemas.openxmlformats.org/officeDocument/2006/relationships/hyperlink" Target="https://eso.vse.cz/~sklenak/pcvse/pcvse-sfx.php?krestni=Stanislava&amp;prijmeni=Hronov%E1&amp;katedra=KEST" TargetMode="External"/><Relationship Id="rId18" Type="http://schemas.openxmlformats.org/officeDocument/2006/relationships/hyperlink" Target="https://eso.vse.cz/~sklenak/pcvse/pcvse-sfx.php?krestni=Richard&amp;prijmeni=Hindls&amp;katedra=KSTP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so.vse.cz/~sklenak/pcvse/pcvse-sfx.php?krestni=Mark%E9ta&amp;prijmeni=Arltov%E1&amp;katedra=KSTP" TargetMode="External"/><Relationship Id="rId12" Type="http://schemas.openxmlformats.org/officeDocument/2006/relationships/hyperlink" Target="https://eso.vse.cz/~sklenak/pcvse/pcvse-sfx.php?krestni=Hana&amp;prijmeni=%D8ezankov%E1&amp;katedra=KSTP" TargetMode="External"/><Relationship Id="rId17" Type="http://schemas.openxmlformats.org/officeDocument/2006/relationships/hyperlink" Target="https://eso.vse.cz/~sklenak/pcvse/pcvse-sfx.php?krestni=Vladim%EDr&amp;prijmeni=Kr%E1l%ED%E8ek&amp;katedra=KF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o.vse.cz/~sklenak/pcvse/pcvse-sfx.php?krestni=Richard&amp;prijmeni=Hindls&amp;katedra=KSTP" TargetMode="External"/><Relationship Id="rId20" Type="http://schemas.openxmlformats.org/officeDocument/2006/relationships/hyperlink" Target="https://eso.vse.cz/~sklenak/pcvse/pcvse-sfx.php?krestni=Michal&amp;prijmeni=%8Aindel%E1%F8&amp;katedra=KF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o.vse.cz/~sklenak/pcvse/pcvse-sfx.php?krestni=Richard&amp;prijmeni=Hindls&amp;katedra=KSTP" TargetMode="External"/><Relationship Id="rId11" Type="http://schemas.openxmlformats.org/officeDocument/2006/relationships/hyperlink" Target="https://eso.vse.cz/~sklenak/pcvse/pcvse-sfx.php?krestni=Iva&amp;prijmeni=Pec%E1kov%E1&amp;katedra=KST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o.vse.cz/~sklenak/pcvse/pcvse-sfx.php?krestni=Jakub&amp;prijmeni=Fischer&amp;katedra=KEST" TargetMode="External"/><Relationship Id="rId10" Type="http://schemas.openxmlformats.org/officeDocument/2006/relationships/hyperlink" Target="https://eso.vse.cz/~sklenak/pcvse/pcvse-sfx.php?krestni=Lubo%9A&amp;prijmeni=Marek&amp;katedra=KSTP" TargetMode="External"/><Relationship Id="rId19" Type="http://schemas.openxmlformats.org/officeDocument/2006/relationships/hyperlink" Target="https://eso.vse.cz/~sklenak/pcvse/pcvse-sfx.php?krestni=Stanislava&amp;prijmeni=Hronov%E1&amp;katedra=K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o.vse.cz/~sklenak/pcvse/pcvse-sfx.php?krestni=Ivana&amp;prijmeni=Mal%E1&amp;katedra=KSTP" TargetMode="External"/><Relationship Id="rId14" Type="http://schemas.openxmlformats.org/officeDocument/2006/relationships/hyperlink" Target="https://eso.vse.cz/~sklenak/pcvse/pcvse-sfx.php?krestni=Jaroslav&amp;prijmeni=Sixta&amp;katedra=KES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Jitka Pagacova</dc:creator>
  <cp:lastModifiedBy>KACR - Jitka Pagacova</cp:lastModifiedBy>
  <cp:revision>1</cp:revision>
  <dcterms:created xsi:type="dcterms:W3CDTF">2020-03-17T09:48:00Z</dcterms:created>
  <dcterms:modified xsi:type="dcterms:W3CDTF">2020-03-17T09:49:00Z</dcterms:modified>
</cp:coreProperties>
</file>