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0" w:rsidRDefault="00C36180" w:rsidP="00C36180">
      <w:pPr>
        <w:autoSpaceDE w:val="0"/>
        <w:autoSpaceDN w:val="0"/>
        <w:adjustRightInd w:val="0"/>
        <w:spacing w:after="600"/>
        <w:jc w:val="right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III.</w:t>
      </w:r>
    </w:p>
    <w:p w:rsidR="00E56DC8" w:rsidRPr="007A209E" w:rsidRDefault="00E56DC8" w:rsidP="0019084E">
      <w:pPr>
        <w:autoSpaceDE w:val="0"/>
        <w:autoSpaceDN w:val="0"/>
        <w:adjustRightInd w:val="0"/>
        <w:spacing w:after="60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Cs w:val="22"/>
        </w:rPr>
        <w:t>ODŮVODNĚNÍ</w:t>
      </w:r>
    </w:p>
    <w:p w:rsidR="00E56DC8" w:rsidRPr="00B715F8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15F8">
        <w:rPr>
          <w:rFonts w:ascii="Arial" w:hAnsi="Arial" w:cs="Arial"/>
          <w:b/>
          <w:bCs/>
          <w:color w:val="000000"/>
          <w:sz w:val="22"/>
          <w:szCs w:val="22"/>
        </w:rPr>
        <w:t>Obecná část</w:t>
      </w:r>
    </w:p>
    <w:p w:rsidR="00E56DC8" w:rsidRPr="00B715F8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B715F8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E56DC8" w:rsidRPr="00B715F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</w:rPr>
        <w:t>Návrh vyhlášky, kterou se mění vyhláška č. 383/2009 Sb., o účetních záznamech v technické formě vybraných účetních jednotek a jejich předávání do centrálního systému účetních informací státu a o požadavcích na technické a smíšené formy účetních záznamů (technická vyhláška o účetních záznamech), ve znění pozdějších předpisů</w:t>
      </w: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,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(dále jen „návrh vyhlášky“).</w:t>
      </w: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úpravy, odůvodnění jejích hlavních principů</w:t>
      </w:r>
    </w:p>
    <w:p w:rsidR="00D3383D" w:rsidRPr="006D6A6E" w:rsidRDefault="00E56DC8" w:rsidP="00D3383D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  <w:u w:val="single"/>
        </w:rPr>
        <w:t>Důvodem předložení návrhu vyhlášky je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85477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zajištění </w:t>
      </w:r>
      <w:r w:rsidR="00200F19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požadavků vyplývajících </w:t>
      </w:r>
      <w:r w:rsidR="00A1237C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z </w:t>
      </w:r>
      <w:r w:rsidR="00A1237C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nařízení Evropského parlamentu a Rady (EU) č. 910/2014</w:t>
      </w:r>
      <w:r w:rsidR="00510344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ze dne 23. července 2014</w:t>
      </w:r>
      <w:r w:rsidR="00A1237C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o elektronické identifikaci a službách vytvářejících důvěru pro elektronické transakce na vnitřním trhu </w:t>
      </w:r>
      <w:r w:rsidR="00510344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br/>
      </w:r>
      <w:r w:rsidR="00A1237C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a o zrušení směrnice 1999/93/ES</w:t>
      </w:r>
      <w:r w:rsidR="00A1237C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A1237C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a </w:t>
      </w:r>
      <w:r w:rsid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zákona </w:t>
      </w:r>
      <w:r w:rsidR="00DF157F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č.</w:t>
      </w:r>
      <w:r w:rsid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="00DF157F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297/2016 Sb.</w:t>
      </w:r>
      <w:r w:rsid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o </w:t>
      </w:r>
      <w:r w:rsidR="00DF157F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službách vytvářejících důvěru pro elektronické transakce</w:t>
      </w:r>
      <w:r w:rsidR="00F97221" w:rsidRPr="00B715F8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97221" w:rsidRPr="00B715F8">
        <w:rPr>
          <w:rFonts w:ascii="Arial" w:hAnsi="Arial" w:cs="Arial"/>
          <w:b w:val="0"/>
          <w:color w:val="000000"/>
          <w:sz w:val="22"/>
          <w:szCs w:val="22"/>
        </w:rPr>
        <w:t>V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> této souvislos</w:t>
      </w:r>
      <w:r w:rsidR="00F97221" w:rsidRPr="00B715F8">
        <w:rPr>
          <w:rFonts w:ascii="Arial" w:hAnsi="Arial" w:cs="Arial"/>
          <w:b w:val="0"/>
          <w:color w:val="000000"/>
          <w:sz w:val="22"/>
          <w:szCs w:val="22"/>
        </w:rPr>
        <w:t>t</w:t>
      </w:r>
      <w:r w:rsidR="00DB638E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i bylo nezbytné upravit </w:t>
      </w:r>
      <w:r w:rsidR="00DF157F">
        <w:rPr>
          <w:rFonts w:ascii="Arial" w:hAnsi="Arial" w:cs="Arial"/>
          <w:b w:val="0"/>
          <w:color w:val="000000"/>
          <w:sz w:val="22"/>
          <w:szCs w:val="22"/>
          <w:lang w:val="cs-CZ"/>
        </w:rPr>
        <w:t>příslušné</w:t>
      </w:r>
      <w:r w:rsidR="00E56E06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ustanovení technické vyhlášky o účetních záznamech, a to</w:t>
      </w:r>
      <w:r w:rsidR="00D3383D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důvodu použití uznávaného elektronického podpisu v případě nakládání s účetními záznamy v technické, případně smíšené formě.</w:t>
      </w:r>
      <w:r w:rsidR="00D3383D" w:rsidRPr="00D3383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>Dalším důvodem předložení návrhu vyhlášky je zajištění požadavků vyplývajících z návrhu vyhlášky, kterou se mění vyhláška č. 312/2014 Sb., o </w:t>
      </w:r>
      <w:r w:rsidR="006D6A6E" w:rsidRP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>podmínkách sestavení účetních výkazů za Českou republiku (konsolidační vyhláška státu), ve znění pozdějších předpisů,</w:t>
      </w:r>
      <w:r w:rsid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kdy je navrhována změna </w:t>
      </w:r>
      <w:r w:rsidR="006D6A6E" w:rsidRP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>ve vykazování údajů konsolidovanými jednotkami státu zahrnutými metodou konsolidace ekvivalencí</w:t>
      </w:r>
      <w:r w:rsid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>.</w:t>
      </w:r>
      <w:r w:rsidR="0034193A" w:rsidRPr="0034193A">
        <w:t xml:space="preserve"> </w:t>
      </w:r>
      <w:r w:rsidR="0034193A"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Důvodem předložení návrhu vyhlášky </w:t>
      </w:r>
      <w:r w:rsid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je dále doplnění položek </w:t>
      </w:r>
      <w:r w:rsidR="004E18EE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aktiv </w:t>
      </w:r>
      <w:r w:rsidR="004E18EE"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B.III.11. a B.III.12.</w:t>
      </w:r>
      <w:r w:rsidR="006F06D5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v případě </w:t>
      </w:r>
      <w:r w:rsidR="0034193A"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Pomocného konsolidační</w:t>
      </w:r>
      <w:r w:rsid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ho</w:t>
      </w:r>
      <w:r w:rsidR="0034193A"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přehledu</w:t>
      </w:r>
      <w:r w:rsid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pro zvýšení </w:t>
      </w:r>
      <w:r w:rsidR="0034193A"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právní jistoty</w:t>
      </w:r>
      <w:r w:rsid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dobrovolných svazků obcí předávající</w:t>
      </w:r>
      <w:r w:rsidR="004B0705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ch do </w:t>
      </w:r>
      <w:r w:rsidR="00510344">
        <w:rPr>
          <w:rFonts w:ascii="Arial" w:hAnsi="Arial" w:cs="Arial"/>
          <w:b w:val="0"/>
          <w:color w:val="000000"/>
          <w:sz w:val="22"/>
          <w:szCs w:val="22"/>
          <w:lang w:val="cs-CZ"/>
        </w:rPr>
        <w:t>c</w:t>
      </w:r>
      <w:r w:rsidR="004B0705">
        <w:rPr>
          <w:rFonts w:ascii="Arial" w:hAnsi="Arial" w:cs="Arial"/>
          <w:b w:val="0"/>
          <w:color w:val="000000"/>
          <w:sz w:val="22"/>
          <w:szCs w:val="22"/>
          <w:lang w:val="cs-CZ"/>
        </w:rPr>
        <w:t>entrálního systému účetních informací státu</w:t>
      </w:r>
      <w:r w:rsid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Pomocný konsolidační přehled</w:t>
      </w:r>
      <w:r w:rsidR="0034193A"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.</w:t>
      </w:r>
    </w:p>
    <w:p w:rsidR="00034258" w:rsidRPr="00B715F8" w:rsidRDefault="00E56DC8" w:rsidP="000A574B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Cíle</w:t>
      </w:r>
      <w:r w:rsidR="00034258" w:rsidRPr="00B715F8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m předložení návrhu vyhlášky je</w:t>
      </w:r>
      <w:r w:rsidR="00034258" w:rsidRPr="00B715F8">
        <w:rPr>
          <w:rFonts w:ascii="Arial" w:hAnsi="Arial" w:cs="Arial"/>
          <w:b w:val="0"/>
          <w:color w:val="000000" w:themeColor="text1"/>
          <w:sz w:val="22"/>
          <w:szCs w:val="22"/>
          <w:lang w:val="cs-CZ"/>
        </w:rPr>
        <w:t xml:space="preserve"> </w:t>
      </w:r>
      <w:r w:rsidR="00034258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zajištění souladu </w:t>
      </w:r>
      <w:r w:rsidR="00A1237C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s </w:t>
      </w:r>
      <w:r w:rsidR="00A1237C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nařízení</w:t>
      </w:r>
      <w:r w:rsidR="00A1237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m</w:t>
      </w:r>
      <w:r w:rsidR="00A1237C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Evropského parlamentu a Rady (EU) č. 910/2014</w:t>
      </w:r>
      <w:r w:rsidR="00510344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ze dne 23. července 2014</w:t>
      </w:r>
      <w:r w:rsidR="00A1237C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o elektronické identifikaci </w:t>
      </w:r>
      <w:r w:rsidR="00510344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br/>
      </w:r>
      <w:r w:rsidR="00A1237C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a službách vytvářejících důvěru pro elektronické transakce na vnitřním trhu a o zrušení směrnice 1999/93/ES</w:t>
      </w:r>
      <w:r w:rsid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</w:t>
      </w:r>
      <w:r w:rsidR="00A1237C">
        <w:rPr>
          <w:rFonts w:ascii="Arial" w:hAnsi="Arial" w:cs="Arial"/>
          <w:b w:val="0"/>
          <w:color w:val="000000"/>
          <w:sz w:val="22"/>
          <w:szCs w:val="22"/>
          <w:lang w:val="cs-CZ"/>
        </w:rPr>
        <w:t>se</w:t>
      </w:r>
      <w:r w:rsidR="004E18E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D3383D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zákonem </w:t>
      </w:r>
      <w:r w:rsidR="00D3383D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č.</w:t>
      </w:r>
      <w:r w:rsidR="00D3383D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="00D3383D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297/2016 Sb.</w:t>
      </w:r>
      <w:r w:rsidR="00D3383D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o </w:t>
      </w:r>
      <w:r w:rsidR="00D3383D"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službách vytvářejících d</w:t>
      </w:r>
      <w:r w:rsidR="00A1237C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ů</w:t>
      </w:r>
      <w:r w:rsidR="006D6A6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věru</w:t>
      </w:r>
      <w:r w:rsidR="004E18E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pro elektronické transakce a s </w:t>
      </w:r>
      <w:r w:rsid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>návrhem vyhlášky, kterou se mění vyhláška č. 312/2014 Sb., o </w:t>
      </w:r>
      <w:r w:rsidR="006D6A6E" w:rsidRP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>podmínkách sestavení účetních výkazů za Českou republiku (konsolidační vyhláška státu</w:t>
      </w:r>
      <w:r w:rsid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), ve znění pozdějších předpisů.</w:t>
      </w:r>
    </w:p>
    <w:p w:rsidR="00034258" w:rsidRPr="00B715F8" w:rsidRDefault="00E56DC8" w:rsidP="004E18EE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  <w:r w:rsidRPr="00B715F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Pokud by návrh vyhlášky</w:t>
      </w:r>
      <w:r w:rsidR="00CD2140" w:rsidRPr="00B715F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 nereagoval na výše uveden</w:t>
      </w:r>
      <w:r w:rsidR="00CD2140" w:rsidRPr="00B715F8">
        <w:rPr>
          <w:rFonts w:ascii="Arial" w:hAnsi="Arial" w:cs="Arial"/>
          <w:bCs/>
          <w:color w:val="000000"/>
          <w:sz w:val="22"/>
          <w:szCs w:val="22"/>
          <w:u w:val="single"/>
          <w:lang w:eastAsia="x-none"/>
        </w:rPr>
        <w:t>ý</w:t>
      </w:r>
      <w:r w:rsidR="00CD2140" w:rsidRPr="00B715F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 cíl</w:t>
      </w:r>
      <w:r w:rsidR="00034258" w:rsidRPr="00B715F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, tak by</w:t>
      </w:r>
      <w:r w:rsidR="00034258" w:rsidRPr="00B715F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  <w:r w:rsidR="00D74D21" w:rsidRPr="00B715F8">
        <w:rPr>
          <w:rFonts w:ascii="Arial" w:hAnsi="Arial" w:cs="Arial"/>
          <w:color w:val="000000"/>
          <w:sz w:val="22"/>
          <w:szCs w:val="22"/>
        </w:rPr>
        <w:t>nedošlo k</w:t>
      </w:r>
      <w:r w:rsidRPr="00B715F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258" w:rsidRPr="00B715F8">
        <w:rPr>
          <w:rFonts w:ascii="Arial" w:hAnsi="Arial" w:cs="Arial"/>
          <w:color w:val="000000"/>
          <w:sz w:val="22"/>
          <w:szCs w:val="22"/>
        </w:rPr>
        <w:t xml:space="preserve">zajištění souladu </w:t>
      </w:r>
      <w:r w:rsidR="004E18EE">
        <w:rPr>
          <w:rFonts w:ascii="Arial" w:hAnsi="Arial" w:cs="Arial"/>
          <w:color w:val="000000"/>
          <w:sz w:val="22"/>
          <w:szCs w:val="22"/>
        </w:rPr>
        <w:t xml:space="preserve">s </w:t>
      </w:r>
      <w:r w:rsidR="004E18EE" w:rsidRPr="00A1237C">
        <w:rPr>
          <w:rFonts w:ascii="Arial" w:hAnsi="Arial" w:cs="Arial"/>
          <w:color w:val="000000"/>
          <w:sz w:val="22"/>
          <w:szCs w:val="22"/>
        </w:rPr>
        <w:t>nařízením Evropského parlamentu a Rady (EU) č. 910/2014</w:t>
      </w:r>
      <w:r w:rsidR="00876E42">
        <w:rPr>
          <w:rFonts w:ascii="Arial" w:hAnsi="Arial" w:cs="Arial"/>
          <w:color w:val="000000"/>
          <w:sz w:val="22"/>
          <w:szCs w:val="22"/>
        </w:rPr>
        <w:t xml:space="preserve"> </w:t>
      </w:r>
      <w:r w:rsidR="006F06D5">
        <w:rPr>
          <w:rFonts w:ascii="Arial" w:hAnsi="Arial" w:cs="Arial"/>
          <w:color w:val="000000"/>
          <w:sz w:val="22"/>
          <w:szCs w:val="22"/>
        </w:rPr>
        <w:t>ze dne 23. července </w:t>
      </w:r>
      <w:r w:rsidR="00876E42" w:rsidRPr="00876E42">
        <w:rPr>
          <w:rFonts w:ascii="Arial" w:hAnsi="Arial" w:cs="Arial"/>
          <w:color w:val="000000"/>
          <w:sz w:val="22"/>
          <w:szCs w:val="22"/>
        </w:rPr>
        <w:t>2014</w:t>
      </w:r>
      <w:r w:rsidR="004E18EE" w:rsidRPr="00A1237C">
        <w:rPr>
          <w:rFonts w:ascii="Arial" w:hAnsi="Arial" w:cs="Arial"/>
          <w:color w:val="000000"/>
          <w:sz w:val="22"/>
          <w:szCs w:val="22"/>
        </w:rPr>
        <w:t xml:space="preserve"> o elektronické identifikaci a službách vytvářejících důvěru pro elektronické transakce na vnitřním trhu </w:t>
      </w:r>
      <w:r w:rsidR="004E18EE">
        <w:rPr>
          <w:rFonts w:ascii="Arial" w:hAnsi="Arial" w:cs="Arial"/>
          <w:color w:val="000000"/>
          <w:sz w:val="22"/>
          <w:szCs w:val="22"/>
        </w:rPr>
        <w:t xml:space="preserve">a o zrušení směrnice 1999/93/ES, </w:t>
      </w:r>
      <w:r w:rsidR="00034258" w:rsidRPr="00B715F8">
        <w:rPr>
          <w:rFonts w:ascii="Arial" w:hAnsi="Arial" w:cs="Arial"/>
          <w:color w:val="000000"/>
          <w:sz w:val="22"/>
          <w:szCs w:val="22"/>
        </w:rPr>
        <w:t xml:space="preserve">se </w:t>
      </w:r>
      <w:r w:rsidR="004E18EE">
        <w:rPr>
          <w:rFonts w:ascii="Arial" w:hAnsi="Arial" w:cs="Arial"/>
          <w:color w:val="000000"/>
          <w:sz w:val="22"/>
          <w:szCs w:val="22"/>
        </w:rPr>
        <w:t>zákonem č. </w:t>
      </w:r>
      <w:r w:rsidR="006F06D5">
        <w:rPr>
          <w:rFonts w:ascii="Arial" w:hAnsi="Arial" w:cs="Arial"/>
          <w:color w:val="000000"/>
          <w:sz w:val="22"/>
          <w:szCs w:val="22"/>
        </w:rPr>
        <w:t>297/2016 Sb., o </w:t>
      </w:r>
      <w:r w:rsidR="00A1237C" w:rsidRPr="00A1237C">
        <w:rPr>
          <w:rFonts w:ascii="Arial" w:hAnsi="Arial" w:cs="Arial"/>
          <w:color w:val="000000"/>
          <w:sz w:val="22"/>
          <w:szCs w:val="22"/>
        </w:rPr>
        <w:t xml:space="preserve">službách vytvářejících důvěru pro elektronické transakce, </w:t>
      </w:r>
      <w:r w:rsidR="004E18EE">
        <w:rPr>
          <w:rFonts w:ascii="Arial" w:hAnsi="Arial" w:cs="Arial"/>
          <w:color w:val="000000"/>
          <w:sz w:val="22"/>
          <w:szCs w:val="22"/>
        </w:rPr>
        <w:t>a s návrhem</w:t>
      </w:r>
      <w:r w:rsidR="004E18EE" w:rsidRPr="004E18EE">
        <w:rPr>
          <w:rFonts w:ascii="Arial" w:hAnsi="Arial" w:cs="Arial"/>
          <w:color w:val="000000"/>
          <w:sz w:val="22"/>
          <w:szCs w:val="22"/>
        </w:rPr>
        <w:t xml:space="preserve"> vyhlá</w:t>
      </w:r>
      <w:r w:rsidR="004E18EE">
        <w:rPr>
          <w:rFonts w:ascii="Arial" w:hAnsi="Arial" w:cs="Arial"/>
          <w:color w:val="000000"/>
          <w:sz w:val="22"/>
          <w:szCs w:val="22"/>
        </w:rPr>
        <w:t>šky, kterou se mění vyhláška č. </w:t>
      </w:r>
      <w:r w:rsidR="004E18EE" w:rsidRPr="004E18EE">
        <w:rPr>
          <w:rFonts w:ascii="Arial" w:hAnsi="Arial" w:cs="Arial"/>
          <w:color w:val="000000"/>
          <w:sz w:val="22"/>
          <w:szCs w:val="22"/>
        </w:rPr>
        <w:t>312/2014 Sb., o podmínkách sestavení účetních výkazů za Českou republiku (konsolidační vyhláška státu), ve znění pozdějších předpisů,</w:t>
      </w:r>
      <w:r w:rsidR="004E18EE">
        <w:rPr>
          <w:rFonts w:ascii="Arial" w:hAnsi="Arial" w:cs="Arial"/>
          <w:color w:val="000000"/>
          <w:sz w:val="22"/>
          <w:szCs w:val="22"/>
        </w:rPr>
        <w:t xml:space="preserve"> </w:t>
      </w:r>
      <w:r w:rsidR="006F06D5">
        <w:rPr>
          <w:rFonts w:ascii="Arial" w:hAnsi="Arial" w:cs="Arial"/>
          <w:color w:val="000000"/>
          <w:sz w:val="22"/>
          <w:szCs w:val="22"/>
        </w:rPr>
        <w:t>čímž by nedošlo k </w:t>
      </w:r>
      <w:r w:rsidR="00034258" w:rsidRPr="00B715F8">
        <w:rPr>
          <w:rFonts w:ascii="Arial" w:hAnsi="Arial" w:cs="Arial"/>
          <w:color w:val="000000"/>
          <w:sz w:val="22"/>
          <w:szCs w:val="22"/>
        </w:rPr>
        <w:t xml:space="preserve">zajištění </w:t>
      </w:r>
      <w:r w:rsidR="00A1237C">
        <w:rPr>
          <w:rFonts w:ascii="Arial" w:hAnsi="Arial" w:cs="Arial"/>
          <w:color w:val="000000"/>
          <w:sz w:val="22"/>
          <w:szCs w:val="22"/>
        </w:rPr>
        <w:t>použití uznávaného</w:t>
      </w:r>
      <w:r w:rsidR="00A1237C" w:rsidRPr="00A1237C">
        <w:t xml:space="preserve"> </w:t>
      </w:r>
      <w:r w:rsidR="00A1237C" w:rsidRPr="00A1237C">
        <w:rPr>
          <w:rFonts w:ascii="Arial" w:hAnsi="Arial" w:cs="Arial"/>
          <w:color w:val="000000"/>
          <w:sz w:val="22"/>
          <w:szCs w:val="22"/>
        </w:rPr>
        <w:t>elektronického podpisu v případě</w:t>
      </w:r>
      <w:r w:rsidR="004E18EE">
        <w:rPr>
          <w:rFonts w:ascii="Arial" w:hAnsi="Arial" w:cs="Arial"/>
          <w:color w:val="000000"/>
          <w:sz w:val="22"/>
          <w:szCs w:val="22"/>
        </w:rPr>
        <w:t xml:space="preserve"> nakládání s účetními záznamy v </w:t>
      </w:r>
      <w:r w:rsidR="00A1237C" w:rsidRPr="00A1237C">
        <w:rPr>
          <w:rFonts w:ascii="Arial" w:hAnsi="Arial" w:cs="Arial"/>
          <w:color w:val="000000"/>
          <w:sz w:val="22"/>
          <w:szCs w:val="22"/>
        </w:rPr>
        <w:t>tec</w:t>
      </w:r>
      <w:r w:rsidR="004E18EE">
        <w:rPr>
          <w:rFonts w:ascii="Arial" w:hAnsi="Arial" w:cs="Arial"/>
          <w:color w:val="000000"/>
          <w:sz w:val="22"/>
          <w:szCs w:val="22"/>
        </w:rPr>
        <w:t xml:space="preserve">hnické, případně smíšené formě, a k zajištění </w:t>
      </w:r>
      <w:r w:rsidR="004E18EE" w:rsidRPr="006D6A6E">
        <w:rPr>
          <w:rFonts w:ascii="Arial" w:hAnsi="Arial" w:cs="Arial"/>
          <w:color w:val="000000"/>
          <w:sz w:val="22"/>
          <w:szCs w:val="22"/>
        </w:rPr>
        <w:t>vykazování údajů konsolidovanými jednotkami státu zahrnutými metodou konsolidace ekvivalencí</w:t>
      </w:r>
      <w:r w:rsidR="004E18EE">
        <w:rPr>
          <w:rFonts w:ascii="Arial" w:hAnsi="Arial" w:cs="Arial"/>
          <w:color w:val="000000"/>
          <w:sz w:val="22"/>
          <w:szCs w:val="22"/>
        </w:rPr>
        <w:t>.</w:t>
      </w:r>
    </w:p>
    <w:p w:rsidR="00E56DC8" w:rsidRPr="00B715F8" w:rsidRDefault="00E56DC8" w:rsidP="00E56DC8">
      <w:pPr>
        <w:spacing w:before="120" w:after="120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E56DC8" w:rsidRPr="00B715F8" w:rsidRDefault="00876E42" w:rsidP="000A574B">
      <w:pPr>
        <w:ind w:firstLine="357"/>
        <w:rPr>
          <w:rFonts w:ascii="Arial" w:hAnsi="Arial" w:cs="Arial"/>
          <w:bCs/>
          <w:color w:val="000000"/>
          <w:sz w:val="22"/>
          <w:szCs w:val="22"/>
        </w:rPr>
      </w:pPr>
      <w:r w:rsidRPr="0038670B">
        <w:rPr>
          <w:rFonts w:ascii="Arial" w:hAnsi="Arial" w:cs="Arial"/>
          <w:bCs/>
          <w:color w:val="000000"/>
          <w:sz w:val="22"/>
          <w:szCs w:val="22"/>
        </w:rPr>
        <w:t>Dotčenými subjekty budou vybrané účetní jednotky podle zákona č. 563/1991 Sb., o účetnictví, ve znění pozdějších předpisů, a další konsolidované jednotky státu.</w:t>
      </w:r>
    </w:p>
    <w:p w:rsidR="00E56DC8" w:rsidRPr="00B715F8" w:rsidRDefault="00E56DC8" w:rsidP="00E56DC8">
      <w:pPr>
        <w:spacing w:before="120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Zhodnocení souladu navrhované právní úpravy se zákonem, k jehož provedení je navržena a zároveň zhodnocení souladu navrhované právní úpravy s předpisy Evropské unie, judikaturou soudních orgánů Evropské unie a obecnými právními zásadami práva Evropské unie</w:t>
      </w:r>
    </w:p>
    <w:p w:rsidR="00E56DC8" w:rsidRPr="00B715F8" w:rsidRDefault="00D74D21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Navrhovaná právní úprava byla vypracována na základě zmocnění obsaženého v § 37b odst. 1 zákona č. 563/1991 Sb., o účetnictví, ve znění zákona č. 437/2003 Sb.</w:t>
      </w:r>
      <w:r w:rsidR="00883F11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zákona </w:t>
      </w:r>
      <w:r w:rsidR="006705DE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č.</w:t>
      </w:r>
      <w:r w:rsidR="006705DE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304/2008 Sb.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zákona č. 221/2015 Sb. a zákona č. 462/2016 Sb.,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k provedení § 4 odst. 8</w:t>
      </w:r>
      <w:r w:rsidR="00E56DC8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Návrh této vyhlášky je s tímto zmocněním plně v souladu.</w:t>
      </w:r>
    </w:p>
    <w:p w:rsidR="00E56DC8" w:rsidRPr="00B715F8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Předložený návrh vyhlášky je v souladu s ústavním pořádkem České republiky, s Listinou základních práv a svobod a s Ústavou České republiky. Návrh vyhlášky respektuje obecné zásady ústavního pořádku České republiky a je též v souladu </w:t>
      </w:r>
      <w:r w:rsidRPr="00B715F8">
        <w:rPr>
          <w:rFonts w:ascii="Arial" w:hAnsi="Arial" w:cs="Arial"/>
          <w:b w:val="0"/>
          <w:color w:val="000000" w:themeColor="text1"/>
          <w:sz w:val="22"/>
          <w:szCs w:val="22"/>
        </w:rPr>
        <w:t>s právními předpisy upravujícími oblast působnosti ústředních orgánů státní správy České republiky.</w:t>
      </w:r>
    </w:p>
    <w:p w:rsidR="00E56DC8" w:rsidRPr="00B715F8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</w:rPr>
        <w:t>Předložený návrh vyhlášky není v rozporu s mezinárodními smlouvami, jimiž je Česká republika vázána, ani s předpisy Evropské unie, ani s judikaturou soudních orgánů Evropské unie a ani s obecnými právními zásadami práva Evropské unie, přičemž se uvedené předpisy, judikatura a obecné právní zásady Evropské unie nevztahují k návrhu právní úpravy.</w:t>
      </w: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Předpokládaný hospodářský a finanční dopad navrhované právní úpravy na státní rozpočet, ostatní veřejné rozpočty a na podnikatelské prostředí v České republice, dále sociální dopady včetně dopadů na specifické skupiny obyvatel, zejména osoby sociálně slabé, osoby se zdravotním postižením a národnostní menšiny, a dopady na životní prostředí</w:t>
      </w:r>
    </w:p>
    <w:p w:rsidR="0092325A" w:rsidRDefault="006E2F9D" w:rsidP="0092325A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0E237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nepředpokládá </w:t>
      </w:r>
      <w:r w:rsidRPr="0032181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hospodářský ani finanční </w:t>
      </w:r>
      <w:r w:rsidRPr="000E237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dopad navrhované právní úpravy na státní rozpočet České republiky a na ostatní veřejné rozpočty. </w:t>
      </w:r>
      <w:r w:rsidR="00BE364E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V případě </w:t>
      </w:r>
      <w:r w:rsidR="00582DAF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dobrovolných svazků obcí</w:t>
      </w:r>
      <w:r w:rsidR="00233149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</w:t>
      </w:r>
      <w:r w:rsidR="00233149" w:rsidRPr="0092325A">
        <w:rPr>
          <w:rFonts w:ascii="Arial" w:hAnsi="Arial" w:cs="Arial"/>
          <w:b w:val="0"/>
          <w:color w:val="000000"/>
          <w:sz w:val="22"/>
          <w:szCs w:val="22"/>
        </w:rPr>
        <w:t>předávajících Pomocný konsolidační přehled</w:t>
      </w:r>
      <w:r w:rsidR="00BE364E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mohou vzniknout minimální náklady spojené s úpravou ekonomických informačních systémů (EKIS), pokud dotčené účetní jednotky nemají smluvně zajištěny úpravy EKIS v náv</w:t>
      </w:r>
      <w:r w:rsidR="0043740D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aznosti na změny legislativy.</w:t>
      </w:r>
    </w:p>
    <w:p w:rsidR="00582DAF" w:rsidRPr="0092325A" w:rsidRDefault="0043740D" w:rsidP="0092325A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92325A">
        <w:rPr>
          <w:rFonts w:ascii="Arial" w:hAnsi="Arial" w:cs="Arial"/>
          <w:b w:val="0"/>
          <w:color w:val="000000"/>
          <w:sz w:val="22"/>
          <w:szCs w:val="22"/>
        </w:rPr>
        <w:t>Návrh vyhlášky nepředpokládá hospodářský ani finanční dopad na podnikatelské prostředí. V souvislosti s návrhem vyhlášky, kterou se m</w:t>
      </w:r>
      <w:r w:rsidR="0092325A">
        <w:rPr>
          <w:rFonts w:ascii="Arial" w:hAnsi="Arial" w:cs="Arial"/>
          <w:b w:val="0"/>
          <w:color w:val="000000"/>
          <w:sz w:val="22"/>
          <w:szCs w:val="22"/>
        </w:rPr>
        <w:t xml:space="preserve">ění vyhláška č. 312/2014 Sb., </w:t>
      </w:r>
      <w:r w:rsidR="0092325A">
        <w:rPr>
          <w:rFonts w:ascii="Arial" w:hAnsi="Arial" w:cs="Arial"/>
          <w:b w:val="0"/>
          <w:color w:val="000000"/>
          <w:sz w:val="22"/>
          <w:szCs w:val="22"/>
          <w:lang w:val="cs-CZ"/>
        </w:rPr>
        <w:t>o </w:t>
      </w:r>
      <w:r w:rsidR="0092325A" w:rsidRPr="006D6A6E">
        <w:rPr>
          <w:rFonts w:ascii="Arial" w:hAnsi="Arial" w:cs="Arial"/>
          <w:b w:val="0"/>
          <w:color w:val="000000"/>
          <w:sz w:val="22"/>
          <w:szCs w:val="22"/>
          <w:lang w:val="cs-CZ"/>
        </w:rPr>
        <w:t>podmínkách sestavení účetních výkazů za Českou republiku (konsolidační vyhláška státu), ve znění pozdějších předpisů,</w:t>
      </w:r>
      <w:r w:rsidR="0092325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92325A">
        <w:rPr>
          <w:rFonts w:ascii="Arial" w:hAnsi="Arial" w:cs="Arial"/>
          <w:b w:val="0"/>
          <w:color w:val="000000"/>
          <w:sz w:val="22"/>
          <w:szCs w:val="22"/>
        </w:rPr>
        <w:t>v</w:t>
      </w:r>
      <w:r w:rsidR="0092325A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92325A">
        <w:rPr>
          <w:rFonts w:ascii="Arial" w:hAnsi="Arial" w:cs="Arial"/>
          <w:b w:val="0"/>
          <w:color w:val="000000"/>
          <w:sz w:val="22"/>
          <w:szCs w:val="22"/>
        </w:rPr>
        <w:t>případě konsolidovaných jednotek státu předávajících Pomocný konsolidační přehled mohou vzniknout minimální náklady spojené s úpravou ekonomických informačních systémů (EKIS), pokud dotčené účetní jednotky nemají smluvně zajištěny ú</w:t>
      </w:r>
      <w:r w:rsidR="0092325A">
        <w:rPr>
          <w:rFonts w:ascii="Arial" w:hAnsi="Arial" w:cs="Arial"/>
          <w:b w:val="0"/>
          <w:color w:val="000000"/>
          <w:sz w:val="22"/>
          <w:szCs w:val="22"/>
        </w:rPr>
        <w:t>pravy EKIS v návaznosti na změn</w:t>
      </w:r>
      <w:r w:rsidR="0092325A">
        <w:rPr>
          <w:rFonts w:ascii="Arial" w:hAnsi="Arial" w:cs="Arial"/>
          <w:b w:val="0"/>
          <w:color w:val="000000"/>
          <w:sz w:val="22"/>
          <w:szCs w:val="22"/>
          <w:lang w:val="cs-CZ"/>
        </w:rPr>
        <w:t>y</w:t>
      </w:r>
      <w:r w:rsidRPr="0092325A">
        <w:rPr>
          <w:rFonts w:ascii="Arial" w:hAnsi="Arial" w:cs="Arial"/>
          <w:b w:val="0"/>
          <w:color w:val="000000"/>
          <w:sz w:val="22"/>
          <w:szCs w:val="22"/>
        </w:rPr>
        <w:t xml:space="preserve"> legislativy.</w:t>
      </w:r>
    </w:p>
    <w:p w:rsidR="006E2F9D" w:rsidRPr="006E2F9D" w:rsidRDefault="006E2F9D" w:rsidP="006E2F9D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0E237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nepředpokládá žádné</w:t>
      </w:r>
      <w:r w:rsidRPr="000E237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sociální dopady ani dopady na osoby se zdravotním postižením a národnostní menšiny a ani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dopady na životní prostředí.</w:t>
      </w:r>
    </w:p>
    <w:p w:rsidR="00E56DC8" w:rsidRPr="00B715F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současného stavu a dopadů navrhovaného řešení ve vztahu k zákazu diskriminace</w:t>
      </w:r>
      <w:r w:rsid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715F8"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 ve vztahu k rovnosti mužů a žen</w:t>
      </w:r>
    </w:p>
    <w:p w:rsidR="00E56DC8" w:rsidRPr="00457FAE" w:rsidRDefault="00E56DC8" w:rsidP="009C5E0A">
      <w:pPr>
        <w:pStyle w:val="Nadpis1"/>
        <w:keepNext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Návrh vyhlášky nepředpokládá </w:t>
      </w:r>
      <w:r w:rsidR="00153CA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žádný 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dopad </w:t>
      </w:r>
      <w:r w:rsidR="00B715F8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ve vz</w:t>
      </w:r>
      <w:r w:rsidR="006317D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tahu k zákazu diskriminace a</w:t>
      </w:r>
      <w:r w:rsidR="006317D1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6317D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ve</w:t>
      </w:r>
      <w:r w:rsidR="006317D1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B715F8"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vztahu k rovnosti mužů a žen 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ve smyslu zákona č. 198/2</w:t>
      </w:r>
      <w:r w:rsidR="003D7EE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009 Sb., o rovném zacházení a</w:t>
      </w:r>
      <w:r w:rsidR="003D7EE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6317D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</w:t>
      </w:r>
      <w:r w:rsidR="006317D1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právních prostředcích ochrany před diskriminací a o změně některých zákonů (antidiskriminační zákon)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ve znění pozdějších předpisů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="00457F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="00457FAE" w:rsidRPr="00457F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Návrh vyhlášky je z hlediska rovnosti mužů a žen indiferentní.</w:t>
      </w:r>
    </w:p>
    <w:p w:rsidR="00E56DC8" w:rsidRPr="00B715F8" w:rsidRDefault="00E56DC8" w:rsidP="009C5E0A">
      <w:pPr>
        <w:keepNext/>
        <w:keepLines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Zhodnocení dopadů navrhovaného řešení ve vztahu k ochraně soukromí a osobních údajů</w:t>
      </w:r>
    </w:p>
    <w:p w:rsidR="00E56DC8" w:rsidRPr="00B715F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nepřijímá žádná opatření, ve kterých by bylo možné spatřovat potenciální rizika ve vztahu k soukromí a ochraně osobních údajů. Návrh vyhlášky nepřijímá žádná opatření, která by zakládala nové zpracování osobních údajů či měnila již existující zpracování osobních údajů.</w:t>
      </w:r>
    </w:p>
    <w:p w:rsidR="00E56DC8" w:rsidRPr="00B715F8" w:rsidRDefault="00E56DC8" w:rsidP="006E2F9D">
      <w:pPr>
        <w:keepNext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korupčních rizik</w:t>
      </w:r>
      <w:r w:rsidR="002419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419E0" w:rsidRPr="002419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navrhovaného řešení (CIA)</w:t>
      </w:r>
    </w:p>
    <w:p w:rsidR="00E56DC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žádná korupční rizika.</w:t>
      </w:r>
    </w:p>
    <w:p w:rsidR="002419E0" w:rsidRPr="004448A8" w:rsidRDefault="002419E0" w:rsidP="002419E0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 bezpečnost nebo obranu státu</w:t>
      </w:r>
    </w:p>
    <w:p w:rsidR="00AD5AE6" w:rsidRPr="009C5E0A" w:rsidRDefault="002419E0" w:rsidP="009C5E0A">
      <w:pPr>
        <w:spacing w:before="120" w:after="120"/>
        <w:ind w:firstLine="357"/>
        <w:rPr>
          <w:lang w:eastAsia="x-none"/>
        </w:rPr>
      </w:pP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Návrh vyhlášky </w:t>
      </w:r>
      <w:r w:rsidR="00153CAB">
        <w:rPr>
          <w:rFonts w:ascii="Arial" w:hAnsi="Arial" w:cs="Arial"/>
          <w:color w:val="000000" w:themeColor="text1"/>
          <w:sz w:val="22"/>
          <w:szCs w:val="22"/>
        </w:rPr>
        <w:t>nepředpokládá žádný</w:t>
      </w: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 dopad n</w:t>
      </w:r>
      <w:r>
        <w:rPr>
          <w:rFonts w:ascii="Arial" w:hAnsi="Arial" w:cs="Arial"/>
          <w:color w:val="000000" w:themeColor="text1"/>
          <w:sz w:val="22"/>
          <w:szCs w:val="22"/>
        </w:rPr>
        <w:t>a bezpečnost nebo obranu státu.</w:t>
      </w:r>
    </w:p>
    <w:p w:rsidR="006705DE" w:rsidRPr="00B715F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Vyjádření k</w:t>
      </w:r>
      <w:r w:rsidR="006705DE"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 </w:t>
      </w: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RIA</w:t>
      </w:r>
    </w:p>
    <w:p w:rsidR="00E56DC8" w:rsidRPr="00B715F8" w:rsidRDefault="000E0D76" w:rsidP="000E0D76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Hodnocení dopadů regulace (RIA) se k návrhu vyhlášky nezpracovává na základě schváleného Plánu přípravy vyhlášek ústředními orgány státní správy na rok 2017 s vyznačením povinnosti zpracování RIA.</w:t>
      </w:r>
    </w:p>
    <w:p w:rsidR="00E56DC8" w:rsidRPr="00B715F8" w:rsidRDefault="00E56DC8" w:rsidP="000E0D7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B715F8">
        <w:rPr>
          <w:rFonts w:ascii="Arial" w:hAnsi="Arial" w:cs="Arial"/>
          <w:color w:val="000000"/>
          <w:sz w:val="22"/>
          <w:szCs w:val="22"/>
        </w:rPr>
        <w:br w:type="page"/>
      </w:r>
      <w:r w:rsidRPr="00B715F8">
        <w:rPr>
          <w:rFonts w:ascii="Arial" w:hAnsi="Arial" w:cs="Arial"/>
          <w:b/>
          <w:color w:val="000000"/>
          <w:sz w:val="22"/>
          <w:szCs w:val="22"/>
        </w:rPr>
        <w:lastRenderedPageBreak/>
        <w:t>Zvláštní část</w:t>
      </w:r>
    </w:p>
    <w:p w:rsidR="00E56DC8" w:rsidRPr="00B715F8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B715F8" w:rsidRDefault="00E56DC8" w:rsidP="00AD5AE6">
      <w:pPr>
        <w:rPr>
          <w:rFonts w:ascii="Arial" w:hAnsi="Arial" w:cs="Arial"/>
          <w:b/>
          <w:color w:val="000000"/>
          <w:sz w:val="22"/>
          <w:szCs w:val="22"/>
        </w:rPr>
      </w:pPr>
      <w:r w:rsidRPr="00B715F8">
        <w:rPr>
          <w:rFonts w:ascii="Arial" w:hAnsi="Arial" w:cs="Arial"/>
          <w:b/>
          <w:color w:val="000000"/>
          <w:sz w:val="22"/>
          <w:szCs w:val="22"/>
        </w:rPr>
        <w:t>K Čl. I</w:t>
      </w:r>
    </w:p>
    <w:p w:rsidR="00AD5AE6" w:rsidRDefault="00AD5AE6" w:rsidP="00AD5AE6">
      <w:pPr>
        <w:pStyle w:val="Nadpis1"/>
        <w:keepNext w:val="0"/>
        <w:widowControl w:val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E56DC8" w:rsidRDefault="00A01CBD" w:rsidP="00AD5AE6">
      <w:pPr>
        <w:pStyle w:val="Nadpis1"/>
        <w:keepNext w:val="0"/>
        <w:widowControl w:val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K bodu</w:t>
      </w:r>
      <w:r w:rsidR="00E56DC8" w:rsidRPr="00B715F8">
        <w:rPr>
          <w:rFonts w:ascii="Arial" w:hAnsi="Arial" w:cs="Arial"/>
          <w:color w:val="000000"/>
          <w:sz w:val="22"/>
          <w:szCs w:val="22"/>
          <w:lang w:val="cs-CZ"/>
        </w:rPr>
        <w:t xml:space="preserve"> 1</w:t>
      </w:r>
      <w:r w:rsidR="006E2F9D">
        <w:rPr>
          <w:rFonts w:ascii="Arial" w:hAnsi="Arial" w:cs="Arial"/>
          <w:color w:val="000000"/>
          <w:sz w:val="22"/>
          <w:szCs w:val="22"/>
          <w:lang w:val="cs-CZ"/>
        </w:rPr>
        <w:t xml:space="preserve"> (§ 26 odst. 5)</w:t>
      </w:r>
      <w:r>
        <w:rPr>
          <w:rFonts w:ascii="Arial" w:hAnsi="Arial" w:cs="Arial"/>
          <w:color w:val="000000"/>
          <w:sz w:val="22"/>
          <w:szCs w:val="22"/>
          <w:lang w:val="cs-CZ"/>
        </w:rPr>
        <w:t>:</w:t>
      </w:r>
    </w:p>
    <w:p w:rsidR="00AD5AE6" w:rsidRDefault="00AD5AE6" w:rsidP="00AD5AE6">
      <w:pPr>
        <w:pStyle w:val="Nadpis1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</w:p>
    <w:p w:rsidR="0051346B" w:rsidRPr="0051346B" w:rsidRDefault="00C23734" w:rsidP="00AD5AE6">
      <w:pPr>
        <w:pStyle w:val="Nadpis1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Důvodem úpravy současného znění ustanovení § 26 odst. 5 vyhlášky je 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zajištění </w:t>
      </w:r>
      <w:r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požadavků vyplývajících 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z</w:t>
      </w:r>
      <w:r w:rsidR="00231CDA">
        <w:rPr>
          <w:rFonts w:ascii="Arial" w:hAnsi="Arial" w:cs="Arial"/>
          <w:b w:val="0"/>
          <w:color w:val="000000"/>
          <w:sz w:val="22"/>
          <w:szCs w:val="22"/>
          <w:lang w:val="cs-CZ"/>
        </w:rPr>
        <w:t> postupného nabývání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účinnosti </w:t>
      </w:r>
      <w:r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nařízení Evropského parlamentu a Rady (EU) č. 910/2014</w:t>
      </w:r>
      <w:r w:rsidR="00AD5AE6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ze dne 23. července 2014</w:t>
      </w:r>
      <w:r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o elektronické identifikaci a službách vytvářejících důvěru pro elektronické transakce na vnitřním trhu a o zrušení směrnice 1999/93/ES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. Zároveň úprava reaguje na ustanovení § 6 zákona </w:t>
      </w:r>
      <w:r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č.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297/2016 Sb.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o </w:t>
      </w:r>
      <w:r w:rsidRPr="00DF157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službách vytvářejících důvěru pro elektronické transakce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, kdy se v případě nakládání s účetními záznamy v technické, případně smíšené formě použije uznávaný elektronický podpis.</w:t>
      </w:r>
      <w:r w:rsidRPr="00D3383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51346B" w:rsidRPr="0051346B" w:rsidRDefault="0051346B" w:rsidP="00AD5AE6">
      <w:pPr>
        <w:rPr>
          <w:lang w:eastAsia="x-none"/>
        </w:rPr>
      </w:pPr>
    </w:p>
    <w:p w:rsidR="0051346B" w:rsidRPr="0051346B" w:rsidRDefault="00C23734" w:rsidP="00AD5AE6">
      <w:pPr>
        <w:pStyle w:val="Nadpis1"/>
        <w:keepNext w:val="0"/>
        <w:widowControl w:val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 xml:space="preserve">K bodům 2 až </w:t>
      </w:r>
      <w:r w:rsidR="00231CDA">
        <w:rPr>
          <w:rFonts w:ascii="Arial" w:hAnsi="Arial" w:cs="Arial"/>
          <w:color w:val="000000"/>
          <w:sz w:val="22"/>
          <w:szCs w:val="22"/>
          <w:lang w:val="cs-CZ"/>
        </w:rPr>
        <w:t>17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(Příloha č. 3a)</w:t>
      </w:r>
      <w:r w:rsidR="0051346B" w:rsidRPr="0051346B">
        <w:rPr>
          <w:rFonts w:ascii="Arial" w:hAnsi="Arial" w:cs="Arial"/>
          <w:color w:val="000000"/>
          <w:sz w:val="22"/>
          <w:szCs w:val="22"/>
          <w:lang w:val="cs-CZ"/>
        </w:rPr>
        <w:t>:</w:t>
      </w:r>
    </w:p>
    <w:p w:rsidR="00AD5AE6" w:rsidRDefault="00AD5AE6" w:rsidP="00AD5AE6">
      <w:pPr>
        <w:keepNext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4B0705" w:rsidRDefault="00A01CBD" w:rsidP="00AD5AE6">
      <w:pPr>
        <w:keepNext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C2373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Důvodem úpravy </w:t>
      </w:r>
      <w:r w:rsidR="00C23734" w:rsidRPr="00C2373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Přílohy č. 3a </w:t>
      </w:r>
      <w:r w:rsidRPr="00C23734">
        <w:rPr>
          <w:rFonts w:ascii="Arial" w:hAnsi="Arial" w:cs="Arial"/>
          <w:color w:val="000000" w:themeColor="text1"/>
          <w:sz w:val="22"/>
          <w:szCs w:val="22"/>
          <w:lang w:eastAsia="x-none"/>
        </w:rPr>
        <w:t>Pomocn</w:t>
      </w:r>
      <w:r w:rsidR="00231CDA">
        <w:rPr>
          <w:rFonts w:ascii="Arial" w:hAnsi="Arial" w:cs="Arial"/>
          <w:color w:val="000000" w:themeColor="text1"/>
          <w:sz w:val="22"/>
          <w:szCs w:val="22"/>
          <w:lang w:eastAsia="x-none"/>
        </w:rPr>
        <w:t>ý</w:t>
      </w:r>
      <w:r w:rsidRPr="00C2373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konsolidační</w:t>
      </w:r>
      <w:r w:rsidR="00231CDA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přehled</w:t>
      </w:r>
      <w:r w:rsidRPr="00C2373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je v prvé řadě změna </w:t>
      </w:r>
      <w:r w:rsidR="00C23734" w:rsidRPr="00C23734">
        <w:rPr>
          <w:rFonts w:ascii="Arial" w:hAnsi="Arial" w:cs="Arial"/>
          <w:color w:val="000000" w:themeColor="text1"/>
          <w:sz w:val="22"/>
          <w:szCs w:val="22"/>
          <w:lang w:eastAsia="x-none"/>
        </w:rPr>
        <w:t>vyplývající z návrhu vyhlášky, kterou se mění vyhláška č. 312/2014 Sb., o podmínkách sestavení účetních výkazů za Českou republiku (konsolidační vyhláška státu), ve znění pozdějších předpisů, kdy je navrhována změna ve vykazování údajů konsolidovanými jednotkami státu zahrnutými metodou konsolidace ekvivalencí</w:t>
      </w:r>
      <w:r w:rsidR="004B0705" w:rsidRPr="004B0705">
        <w:rPr>
          <w:rFonts w:ascii="Arial" w:hAnsi="Arial" w:cs="Arial"/>
          <w:color w:val="000000" w:themeColor="text1"/>
          <w:sz w:val="22"/>
          <w:szCs w:val="22"/>
          <w:lang w:eastAsia="x-none"/>
        </w:rPr>
        <w:t>. Důvo</w:t>
      </w:r>
      <w:r w:rsidR="004B0705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dem je skutečnost, že se jedná </w:t>
      </w:r>
      <w:r w:rsidR="004B0705" w:rsidRPr="004B0705">
        <w:rPr>
          <w:rFonts w:ascii="Arial" w:hAnsi="Arial" w:cs="Arial"/>
          <w:color w:val="000000" w:themeColor="text1"/>
          <w:sz w:val="22"/>
          <w:szCs w:val="22"/>
          <w:lang w:eastAsia="x-none"/>
        </w:rPr>
        <w:t>o převažující postup při sestavování konsolidované účetní závěrky, kdy v případě sestavování konsolidované účetní závěrky ve veřejném sektoru lze jako příklad uvést Nový Zéland,</w:t>
      </w:r>
      <w:r w:rsidR="004B0705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Spojené království a </w:t>
      </w:r>
      <w:r w:rsidR="004B0705" w:rsidRPr="004B0705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Slovenskou republiku. V případě </w:t>
      </w:r>
      <w:r w:rsidR="0039040C" w:rsidRPr="00657D09">
        <w:rPr>
          <w:rFonts w:ascii="Arial" w:hAnsi="Arial" w:cs="Arial"/>
          <w:color w:val="000000"/>
          <w:sz w:val="22"/>
          <w:szCs w:val="22"/>
        </w:rPr>
        <w:t xml:space="preserve">účetních jednotek postupujících podle </w:t>
      </w:r>
      <w:r w:rsidR="0086743A">
        <w:rPr>
          <w:rFonts w:ascii="Arial" w:hAnsi="Arial" w:cs="Arial"/>
          <w:color w:val="000000"/>
          <w:sz w:val="22"/>
          <w:szCs w:val="22"/>
        </w:rPr>
        <w:t>českých právních předpisů v oblasti účetnictví pro podnikatele</w:t>
      </w:r>
      <w:r w:rsidR="0039040C" w:rsidRPr="00657D09">
        <w:rPr>
          <w:rFonts w:ascii="Arial" w:hAnsi="Arial" w:cs="Arial"/>
          <w:color w:val="000000"/>
          <w:sz w:val="22"/>
          <w:szCs w:val="22"/>
        </w:rPr>
        <w:t xml:space="preserve">, popřípadě </w:t>
      </w:r>
      <w:r w:rsidR="0086743A">
        <w:rPr>
          <w:rFonts w:ascii="Arial" w:hAnsi="Arial" w:cs="Arial"/>
          <w:color w:val="000000"/>
          <w:sz w:val="22"/>
          <w:szCs w:val="22"/>
        </w:rPr>
        <w:t>M</w:t>
      </w:r>
      <w:r w:rsidR="0039040C" w:rsidRPr="00657D09">
        <w:rPr>
          <w:rFonts w:ascii="Arial" w:hAnsi="Arial" w:cs="Arial"/>
          <w:color w:val="000000"/>
          <w:sz w:val="22"/>
          <w:szCs w:val="22"/>
        </w:rPr>
        <w:t>ezinárodních standardů účetního výkaznictví (IFRS),</w:t>
      </w:r>
      <w:r w:rsidR="0039040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705" w:rsidRPr="004B0705">
        <w:rPr>
          <w:rFonts w:ascii="Arial" w:hAnsi="Arial" w:cs="Arial"/>
          <w:color w:val="000000" w:themeColor="text1"/>
          <w:sz w:val="22"/>
          <w:szCs w:val="22"/>
          <w:lang w:eastAsia="x-none"/>
        </w:rPr>
        <w:t>lze jako příklad uvést společnost ČEZ, a.</w:t>
      </w:r>
      <w:r w:rsidR="00F74528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="004B0705" w:rsidRPr="004B0705">
        <w:rPr>
          <w:rFonts w:ascii="Arial" w:hAnsi="Arial" w:cs="Arial"/>
          <w:color w:val="000000" w:themeColor="text1"/>
          <w:sz w:val="22"/>
          <w:szCs w:val="22"/>
          <w:lang w:eastAsia="x-none"/>
        </w:rPr>
        <w:t>s.</w:t>
      </w:r>
    </w:p>
    <w:p w:rsidR="00231CDA" w:rsidRDefault="00231CDA" w:rsidP="00AD5AE6">
      <w:pPr>
        <w:keepNext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4B0705" w:rsidRDefault="004B0705" w:rsidP="00AD5AE6">
      <w:pPr>
        <w:pStyle w:val="Nadpis1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Dalším 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d</w:t>
      </w:r>
      <w:r w:rsidR="00C23734"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ůvodem 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úpravy</w:t>
      </w:r>
      <w:r w:rsidR="00265CB7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Pomocného konsolidačního přehledu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je</w:t>
      </w:r>
      <w:r w:rsidRPr="004B0705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doplnění položek aktiv </w:t>
      </w:r>
      <w:r w:rsidR="00231CDA">
        <w:rPr>
          <w:rFonts w:ascii="Arial" w:hAnsi="Arial" w:cs="Arial"/>
          <w:b w:val="0"/>
          <w:color w:val="000000"/>
          <w:sz w:val="22"/>
          <w:szCs w:val="22"/>
          <w:lang w:val="cs-CZ"/>
        </w:rPr>
        <w:t>„</w:t>
      </w:r>
      <w:r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B.III.11.</w:t>
      </w:r>
      <w:r w:rsidR="00231CD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231CDA" w:rsidRPr="00231CD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Základní běžný účet územních samosprávných </w:t>
      </w:r>
      <w:r w:rsidR="005A3327">
        <w:rPr>
          <w:rFonts w:ascii="Arial" w:hAnsi="Arial" w:cs="Arial"/>
          <w:b w:val="0"/>
          <w:color w:val="000000"/>
          <w:sz w:val="22"/>
          <w:szCs w:val="22"/>
          <w:lang w:val="cs-CZ"/>
        </w:rPr>
        <w:t>celků</w:t>
      </w:r>
      <w:r w:rsidR="00231CDA" w:rsidRPr="00231CDA">
        <w:rPr>
          <w:rFonts w:ascii="Arial" w:hAnsi="Arial" w:cs="Arial"/>
          <w:b w:val="0"/>
          <w:color w:val="000000"/>
          <w:sz w:val="22"/>
          <w:szCs w:val="22"/>
          <w:lang w:val="cs-CZ"/>
        </w:rPr>
        <w:t>“</w:t>
      </w:r>
      <w:r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a </w:t>
      </w:r>
      <w:r w:rsidR="00265CB7">
        <w:rPr>
          <w:rFonts w:ascii="Arial" w:hAnsi="Arial" w:cs="Arial"/>
          <w:b w:val="0"/>
          <w:color w:val="000000"/>
          <w:sz w:val="22"/>
          <w:szCs w:val="22"/>
          <w:lang w:val="cs-CZ"/>
        </w:rPr>
        <w:t>„</w:t>
      </w:r>
      <w:r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B.III.12.</w:t>
      </w:r>
      <w:r w:rsidR="00265CB7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265CB7" w:rsidRPr="00265CB7">
        <w:rPr>
          <w:rFonts w:ascii="Arial" w:hAnsi="Arial" w:cs="Arial"/>
          <w:b w:val="0"/>
          <w:color w:val="000000"/>
          <w:sz w:val="22"/>
          <w:szCs w:val="22"/>
          <w:lang w:val="cs-CZ"/>
        </w:rPr>
        <w:t>Běžné účty fondů územních samosprávných celků</w:t>
      </w:r>
      <w:r w:rsidR="00265CB7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“, kdy navrhovanou úpravou dojde ke 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zvýšení </w:t>
      </w:r>
      <w:r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právní jistoty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dobrovoln</w:t>
      </w:r>
      <w:r w:rsidR="005A3327">
        <w:rPr>
          <w:rFonts w:ascii="Arial" w:hAnsi="Arial" w:cs="Arial"/>
          <w:b w:val="0"/>
          <w:color w:val="000000"/>
          <w:sz w:val="22"/>
          <w:szCs w:val="22"/>
          <w:lang w:val="cs-CZ"/>
        </w:rPr>
        <w:t>ých svazků obcí předávajících do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265CB7">
        <w:rPr>
          <w:rFonts w:ascii="Arial" w:hAnsi="Arial" w:cs="Arial"/>
          <w:b w:val="0"/>
          <w:color w:val="000000"/>
          <w:sz w:val="22"/>
          <w:szCs w:val="22"/>
          <w:lang w:val="cs-CZ"/>
        </w:rPr>
        <w:t>c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entrálního systému účetních informací státu Pomocný konsolidační přehled</w:t>
      </w:r>
      <w:r w:rsidRPr="0034193A">
        <w:rPr>
          <w:rFonts w:ascii="Arial" w:hAnsi="Arial" w:cs="Arial"/>
          <w:b w:val="0"/>
          <w:color w:val="000000"/>
          <w:sz w:val="22"/>
          <w:szCs w:val="22"/>
          <w:lang w:val="cs-CZ"/>
        </w:rPr>
        <w:t>.</w:t>
      </w:r>
    </w:p>
    <w:p w:rsidR="00A01CBD" w:rsidRDefault="00A01CBD" w:rsidP="00AD5AE6">
      <w:pPr>
        <w:keepNext/>
        <w:rPr>
          <w:rFonts w:ascii="Arial" w:hAnsi="Arial" w:cs="Arial"/>
          <w:bCs/>
          <w:color w:val="000000"/>
          <w:sz w:val="22"/>
          <w:szCs w:val="22"/>
          <w:lang w:eastAsia="x-none"/>
        </w:rPr>
      </w:pPr>
    </w:p>
    <w:p w:rsidR="00E56DC8" w:rsidRPr="00B715F8" w:rsidRDefault="00E56DC8" w:rsidP="00AD5AE6">
      <w:pPr>
        <w:keepNext/>
        <w:rPr>
          <w:rFonts w:ascii="Arial" w:hAnsi="Arial" w:cs="Arial"/>
          <w:b/>
          <w:color w:val="000000"/>
          <w:sz w:val="22"/>
          <w:szCs w:val="22"/>
        </w:rPr>
      </w:pPr>
      <w:r w:rsidRPr="00B715F8">
        <w:rPr>
          <w:rFonts w:ascii="Arial" w:hAnsi="Arial" w:cs="Arial"/>
          <w:b/>
          <w:color w:val="000000"/>
          <w:sz w:val="22"/>
          <w:szCs w:val="22"/>
        </w:rPr>
        <w:t>K Čl. II</w:t>
      </w:r>
    </w:p>
    <w:p w:rsidR="00AD5AE6" w:rsidRDefault="00AD5AE6" w:rsidP="00AD5AE6">
      <w:pPr>
        <w:pStyle w:val="Nadpis1"/>
        <w:keepNext w:val="0"/>
        <w:widowControl w:val="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</w:p>
    <w:p w:rsidR="00122B00" w:rsidRPr="00A01CBD" w:rsidRDefault="00432E30" w:rsidP="00AD5AE6">
      <w:pPr>
        <w:pStyle w:val="Nadpis1"/>
        <w:keepNext w:val="0"/>
        <w:widowControl w:val="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color w:val="000000"/>
          <w:sz w:val="22"/>
          <w:szCs w:val="22"/>
        </w:rPr>
        <w:t>V účetním období započatém před 1. lednem 2018 se použ</w:t>
      </w:r>
      <w:r w:rsidR="00845D70" w:rsidRPr="00B715F8">
        <w:rPr>
          <w:rFonts w:ascii="Arial" w:hAnsi="Arial" w:cs="Arial"/>
          <w:b w:val="0"/>
          <w:color w:val="000000"/>
          <w:sz w:val="22"/>
          <w:szCs w:val="22"/>
        </w:rPr>
        <w:t>ije vyhláška č. 383/2009 Sb.</w:t>
      </w:r>
      <w:r w:rsidR="00265CB7">
        <w:rPr>
          <w:rFonts w:ascii="Arial" w:hAnsi="Arial" w:cs="Arial"/>
          <w:b w:val="0"/>
          <w:color w:val="000000"/>
          <w:sz w:val="22"/>
          <w:szCs w:val="22"/>
          <w:lang w:val="cs-CZ"/>
        </w:rPr>
        <w:t>,</w:t>
      </w:r>
      <w:r w:rsidR="00845D70" w:rsidRPr="00B715F8">
        <w:rPr>
          <w:rFonts w:ascii="Arial" w:hAnsi="Arial" w:cs="Arial"/>
          <w:b w:val="0"/>
          <w:color w:val="000000"/>
          <w:sz w:val="22"/>
          <w:szCs w:val="22"/>
        </w:rPr>
        <w:t xml:space="preserve"> ve</w:t>
      </w:r>
      <w:r w:rsidR="00845D70" w:rsidRPr="00B715F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B715F8">
        <w:rPr>
          <w:rFonts w:ascii="Arial" w:hAnsi="Arial" w:cs="Arial"/>
          <w:b w:val="0"/>
          <w:color w:val="000000"/>
          <w:sz w:val="22"/>
          <w:szCs w:val="22"/>
        </w:rPr>
        <w:t>znění účinném přede dnem nabytí účinnosti této vyhlášky</w:t>
      </w:r>
      <w:r w:rsidR="00122B00" w:rsidRPr="00B715F8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E56DC8" w:rsidRPr="00B715F8" w:rsidRDefault="00E56DC8" w:rsidP="00AD5AE6">
      <w:pPr>
        <w:rPr>
          <w:rFonts w:ascii="Arial" w:hAnsi="Arial" w:cs="Arial"/>
          <w:b/>
          <w:color w:val="000000"/>
          <w:sz w:val="22"/>
          <w:szCs w:val="22"/>
        </w:rPr>
      </w:pPr>
    </w:p>
    <w:p w:rsidR="00E56DC8" w:rsidRPr="00B715F8" w:rsidRDefault="00E56DC8" w:rsidP="00AD5AE6">
      <w:pPr>
        <w:rPr>
          <w:rFonts w:ascii="Arial" w:hAnsi="Arial" w:cs="Arial"/>
          <w:b/>
          <w:color w:val="000000"/>
          <w:sz w:val="22"/>
          <w:szCs w:val="22"/>
        </w:rPr>
      </w:pPr>
      <w:r w:rsidRPr="00B715F8">
        <w:rPr>
          <w:rFonts w:ascii="Arial" w:hAnsi="Arial" w:cs="Arial"/>
          <w:b/>
          <w:color w:val="000000"/>
          <w:sz w:val="22"/>
          <w:szCs w:val="22"/>
        </w:rPr>
        <w:t>K Čl. III</w:t>
      </w:r>
    </w:p>
    <w:p w:rsidR="00AD5AE6" w:rsidRDefault="00AD5AE6" w:rsidP="00AD5AE6">
      <w:pPr>
        <w:rPr>
          <w:rFonts w:ascii="Arial" w:hAnsi="Arial" w:cs="Arial"/>
          <w:sz w:val="22"/>
          <w:szCs w:val="22"/>
        </w:rPr>
      </w:pPr>
    </w:p>
    <w:p w:rsidR="00E56DC8" w:rsidRPr="00B715F8" w:rsidRDefault="00E56DC8" w:rsidP="00AD5AE6">
      <w:pPr>
        <w:rPr>
          <w:rFonts w:ascii="Arial" w:hAnsi="Arial" w:cs="Arial"/>
          <w:sz w:val="22"/>
          <w:szCs w:val="22"/>
        </w:rPr>
      </w:pPr>
      <w:r w:rsidRPr="00B715F8">
        <w:rPr>
          <w:rFonts w:ascii="Arial" w:hAnsi="Arial" w:cs="Arial"/>
          <w:sz w:val="22"/>
          <w:szCs w:val="22"/>
        </w:rPr>
        <w:t xml:space="preserve">Účinnost vyhlášky </w:t>
      </w:r>
      <w:r w:rsidR="00122B00" w:rsidRPr="00B715F8">
        <w:rPr>
          <w:rFonts w:ascii="Arial" w:hAnsi="Arial" w:cs="Arial"/>
          <w:sz w:val="22"/>
          <w:szCs w:val="22"/>
        </w:rPr>
        <w:t>je navrhována dnem 1. ledna 2018</w:t>
      </w:r>
      <w:r w:rsidRPr="00B715F8">
        <w:rPr>
          <w:rFonts w:ascii="Arial" w:hAnsi="Arial" w:cs="Arial"/>
          <w:sz w:val="22"/>
          <w:szCs w:val="22"/>
        </w:rPr>
        <w:t>.</w:t>
      </w:r>
    </w:p>
    <w:p w:rsidR="00E56DC8" w:rsidRPr="0038670B" w:rsidRDefault="00E56DC8" w:rsidP="00E56DC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915A2" w:rsidRDefault="00F915A2"/>
    <w:sectPr w:rsidR="00F915A2" w:rsidSect="006F06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AF" w:rsidRDefault="00582DAF">
      <w:r>
        <w:separator/>
      </w:r>
    </w:p>
  </w:endnote>
  <w:endnote w:type="continuationSeparator" w:id="0">
    <w:p w:rsidR="00582DAF" w:rsidRDefault="0058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AF" w:rsidRDefault="00582DAF" w:rsidP="006F06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2DAF" w:rsidRDefault="00582D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AF" w:rsidRDefault="00582D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AF" w:rsidRDefault="00582DAF">
      <w:r>
        <w:separator/>
      </w:r>
    </w:p>
  </w:footnote>
  <w:footnote w:type="continuationSeparator" w:id="0">
    <w:p w:rsidR="00582DAF" w:rsidRDefault="0058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AF" w:rsidRDefault="00582DAF" w:rsidP="006F06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2DAF" w:rsidRDefault="00582D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AF" w:rsidRDefault="00582DAF" w:rsidP="006F06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138E">
      <w:rPr>
        <w:rStyle w:val="slostrnky"/>
        <w:noProof/>
      </w:rPr>
      <w:t>4</w:t>
    </w:r>
    <w:r>
      <w:rPr>
        <w:rStyle w:val="slostrnky"/>
      </w:rPr>
      <w:fldChar w:fldCharType="end"/>
    </w:r>
  </w:p>
  <w:p w:rsidR="00582DAF" w:rsidRDefault="00582D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317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634B1"/>
    <w:multiLevelType w:val="hybridMultilevel"/>
    <w:tmpl w:val="3FF87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79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8"/>
    <w:rsid w:val="00033D02"/>
    <w:rsid w:val="00034258"/>
    <w:rsid w:val="000A574B"/>
    <w:rsid w:val="000E0D76"/>
    <w:rsid w:val="001006D1"/>
    <w:rsid w:val="00105069"/>
    <w:rsid w:val="00122B00"/>
    <w:rsid w:val="00141A58"/>
    <w:rsid w:val="00153CAB"/>
    <w:rsid w:val="00166F54"/>
    <w:rsid w:val="0019084E"/>
    <w:rsid w:val="001B1FD1"/>
    <w:rsid w:val="00200F19"/>
    <w:rsid w:val="00205537"/>
    <w:rsid w:val="00231CDA"/>
    <w:rsid w:val="00233149"/>
    <w:rsid w:val="002419E0"/>
    <w:rsid w:val="00261F6A"/>
    <w:rsid w:val="00265CB7"/>
    <w:rsid w:val="0034193A"/>
    <w:rsid w:val="00366F61"/>
    <w:rsid w:val="0039040C"/>
    <w:rsid w:val="003D7EE8"/>
    <w:rsid w:val="00432E30"/>
    <w:rsid w:val="00434110"/>
    <w:rsid w:val="0043740D"/>
    <w:rsid w:val="00454597"/>
    <w:rsid w:val="00457FAE"/>
    <w:rsid w:val="0048516B"/>
    <w:rsid w:val="004B0705"/>
    <w:rsid w:val="004C39C0"/>
    <w:rsid w:val="004E18EE"/>
    <w:rsid w:val="00510344"/>
    <w:rsid w:val="0051346B"/>
    <w:rsid w:val="00520899"/>
    <w:rsid w:val="00582DAF"/>
    <w:rsid w:val="00597F89"/>
    <w:rsid w:val="005A3327"/>
    <w:rsid w:val="00606E5A"/>
    <w:rsid w:val="006317D1"/>
    <w:rsid w:val="006705DE"/>
    <w:rsid w:val="006940CF"/>
    <w:rsid w:val="006A04A1"/>
    <w:rsid w:val="006D6A6E"/>
    <w:rsid w:val="006E2F9D"/>
    <w:rsid w:val="006F06D5"/>
    <w:rsid w:val="00763E60"/>
    <w:rsid w:val="0077280B"/>
    <w:rsid w:val="007F1CA1"/>
    <w:rsid w:val="00832D19"/>
    <w:rsid w:val="0083601F"/>
    <w:rsid w:val="00845D70"/>
    <w:rsid w:val="0086743A"/>
    <w:rsid w:val="00876E42"/>
    <w:rsid w:val="00883F11"/>
    <w:rsid w:val="00885477"/>
    <w:rsid w:val="008A4058"/>
    <w:rsid w:val="008B762A"/>
    <w:rsid w:val="0092325A"/>
    <w:rsid w:val="00947B83"/>
    <w:rsid w:val="0095518F"/>
    <w:rsid w:val="0097138E"/>
    <w:rsid w:val="009A20A9"/>
    <w:rsid w:val="009C5E0A"/>
    <w:rsid w:val="009D26C4"/>
    <w:rsid w:val="00A01CBD"/>
    <w:rsid w:val="00A04206"/>
    <w:rsid w:val="00A1237C"/>
    <w:rsid w:val="00A17EDB"/>
    <w:rsid w:val="00AA1F8F"/>
    <w:rsid w:val="00AB5A9A"/>
    <w:rsid w:val="00AD5AE6"/>
    <w:rsid w:val="00AF189A"/>
    <w:rsid w:val="00AF5BAD"/>
    <w:rsid w:val="00B715F8"/>
    <w:rsid w:val="00BE364E"/>
    <w:rsid w:val="00C23734"/>
    <w:rsid w:val="00C36180"/>
    <w:rsid w:val="00C8690C"/>
    <w:rsid w:val="00CD2140"/>
    <w:rsid w:val="00D3383D"/>
    <w:rsid w:val="00D50F37"/>
    <w:rsid w:val="00D74D21"/>
    <w:rsid w:val="00D802F1"/>
    <w:rsid w:val="00D96318"/>
    <w:rsid w:val="00DB0A2F"/>
    <w:rsid w:val="00DB638E"/>
    <w:rsid w:val="00DF157F"/>
    <w:rsid w:val="00E56DC8"/>
    <w:rsid w:val="00E56E06"/>
    <w:rsid w:val="00EA2078"/>
    <w:rsid w:val="00F1297C"/>
    <w:rsid w:val="00F74528"/>
    <w:rsid w:val="00F915A2"/>
    <w:rsid w:val="00F93760"/>
    <w:rsid w:val="00F97221"/>
    <w:rsid w:val="00FB1F9B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4B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46B"/>
    <w:pPr>
      <w:spacing w:after="20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46B"/>
    <w:rPr>
      <w:rFonts w:eastAsiaTheme="minorEastAsi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4B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46B"/>
    <w:pPr>
      <w:spacing w:after="20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46B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8107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2017-07-31T14:36:00Z</cp:lastPrinted>
  <dcterms:created xsi:type="dcterms:W3CDTF">2017-08-07T08:11:00Z</dcterms:created>
  <dcterms:modified xsi:type="dcterms:W3CDTF">2017-08-07T08:11:00Z</dcterms:modified>
</cp:coreProperties>
</file>