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467" w:rsidRPr="00CF47B2" w:rsidRDefault="00B16467" w:rsidP="00B16467">
      <w:pPr>
        <w:pStyle w:val="Nadpis2"/>
        <w:numPr>
          <w:ilvl w:val="1"/>
          <w:numId w:val="4"/>
        </w:numPr>
      </w:pPr>
      <w:bookmarkStart w:id="0" w:name="_Toc58751806"/>
      <w:bookmarkStart w:id="1" w:name="_Toc126057031"/>
      <w:bookmarkStart w:id="2" w:name="_Toc126057428"/>
      <w:bookmarkStart w:id="3" w:name="_Toc126057578"/>
      <w:bookmarkStart w:id="4" w:name="_Toc132785689"/>
      <w:bookmarkStart w:id="5" w:name="_Toc254863237"/>
      <w:bookmarkStart w:id="6" w:name="_Toc485715341"/>
      <w:r w:rsidRPr="00CF47B2">
        <w:t>Finanční účetnictví</w:t>
      </w:r>
      <w:bookmarkEnd w:id="0"/>
      <w:bookmarkEnd w:id="1"/>
      <w:bookmarkEnd w:id="2"/>
      <w:bookmarkEnd w:id="3"/>
      <w:bookmarkEnd w:id="4"/>
      <w:bookmarkEnd w:id="5"/>
      <w:r w:rsidRPr="00CF47B2">
        <w:t xml:space="preserve"> </w:t>
      </w:r>
      <w:r>
        <w:t>I</w:t>
      </w:r>
      <w:bookmarkEnd w:id="6"/>
    </w:p>
    <w:p w:rsidR="00B16467" w:rsidRPr="00CF47B2" w:rsidRDefault="00B16467" w:rsidP="00B16467">
      <w:pPr>
        <w:pStyle w:val="Nadpis3"/>
      </w:pPr>
      <w:bookmarkStart w:id="7" w:name="_Toc58751807"/>
      <w:bookmarkStart w:id="8" w:name="_Toc126057032"/>
      <w:bookmarkStart w:id="9" w:name="_Toc126057429"/>
      <w:bookmarkStart w:id="10" w:name="_Toc126057579"/>
      <w:bookmarkStart w:id="11" w:name="_Toc132785690"/>
      <w:bookmarkStart w:id="12" w:name="_Toc254863238"/>
      <w:bookmarkStart w:id="13" w:name="_Toc485715342"/>
      <w:r w:rsidRPr="00CF47B2">
        <w:t>Cíle a zaměření zkoušky</w:t>
      </w:r>
      <w:bookmarkEnd w:id="7"/>
      <w:bookmarkEnd w:id="8"/>
      <w:bookmarkEnd w:id="9"/>
      <w:bookmarkEnd w:id="10"/>
      <w:bookmarkEnd w:id="11"/>
      <w:bookmarkEnd w:id="12"/>
      <w:bookmarkEnd w:id="13"/>
      <w:r w:rsidRPr="00CF47B2">
        <w:t xml:space="preserve"> </w:t>
      </w:r>
    </w:p>
    <w:p w:rsidR="00B16467" w:rsidRPr="00CF47B2" w:rsidRDefault="00B16467" w:rsidP="00B16467">
      <w:pPr>
        <w:pStyle w:val="Zkladntextodsazen"/>
      </w:pPr>
      <w:r w:rsidRPr="00CF47B2">
        <w:t xml:space="preserve">Cílem zkoušky z finančního účetnictví je ověřit znalosti a dovednosti uchazečů o auditorskou profesi v oblasti </w:t>
      </w:r>
      <w:r>
        <w:t xml:space="preserve">finančního </w:t>
      </w:r>
      <w:r w:rsidRPr="00CF47B2">
        <w:t xml:space="preserve">účetnictví ve všech organizačně-právních formách a oblastech podnikání účetních jednotek, jejichž účetní závěrka podléhá povinnosti ověření auditorem. </w:t>
      </w:r>
    </w:p>
    <w:p w:rsidR="00B16467" w:rsidRPr="00CF47B2" w:rsidRDefault="00B16467" w:rsidP="00B16467">
      <w:pPr>
        <w:spacing w:before="120"/>
        <w:jc w:val="both"/>
        <w:rPr>
          <w:b/>
        </w:rPr>
      </w:pPr>
      <w:bookmarkStart w:id="14" w:name="_Toc58751808"/>
      <w:bookmarkStart w:id="15" w:name="_Toc126057033"/>
      <w:bookmarkStart w:id="16" w:name="_Toc126057430"/>
      <w:bookmarkStart w:id="17" w:name="_Toc126057580"/>
      <w:bookmarkStart w:id="18" w:name="_Toc132785691"/>
      <w:bookmarkStart w:id="19" w:name="_Toc254863239"/>
      <w:r w:rsidRPr="00CF47B2">
        <w:rPr>
          <w:b/>
        </w:rPr>
        <w:t>Vyžadována je</w:t>
      </w:r>
      <w:r>
        <w:rPr>
          <w:b/>
        </w:rPr>
        <w:t xml:space="preserve"> </w:t>
      </w:r>
      <w:r w:rsidRPr="00CF47B2">
        <w:rPr>
          <w:b/>
        </w:rPr>
        <w:t>podrobná znalost:</w:t>
      </w:r>
    </w:p>
    <w:p w:rsidR="00B16467" w:rsidRDefault="00B16467" w:rsidP="00B16467">
      <w:pPr>
        <w:pStyle w:val="Zkladntext"/>
        <w:numPr>
          <w:ilvl w:val="0"/>
          <w:numId w:val="3"/>
        </w:numPr>
      </w:pPr>
      <w:r>
        <w:t>účetní teorie, obecně uznávaných účetních zásad a účetních metod,</w:t>
      </w:r>
    </w:p>
    <w:p w:rsidR="00B16467" w:rsidRDefault="00B16467" w:rsidP="00B16467">
      <w:pPr>
        <w:pStyle w:val="Zkladntext"/>
        <w:numPr>
          <w:ilvl w:val="0"/>
          <w:numId w:val="3"/>
        </w:numPr>
      </w:pPr>
      <w:r>
        <w:t>legislativní úpravy účetnictví podnikatelských subjektů – právnických osob (zákon o účetnictví a prováděcí předpisy pro podnikatele),</w:t>
      </w:r>
    </w:p>
    <w:p w:rsidR="00B16467" w:rsidRDefault="00B16467" w:rsidP="00B16467">
      <w:pPr>
        <w:pStyle w:val="Zkladntext"/>
        <w:numPr>
          <w:ilvl w:val="0"/>
          <w:numId w:val="3"/>
        </w:numPr>
      </w:pPr>
      <w:r>
        <w:t>směrnic Evropské unie upravující účetní závěrku,</w:t>
      </w:r>
    </w:p>
    <w:p w:rsidR="00B16467" w:rsidRDefault="00B16467" w:rsidP="00B16467">
      <w:pPr>
        <w:pStyle w:val="Zkladntext"/>
        <w:numPr>
          <w:ilvl w:val="0"/>
          <w:numId w:val="3"/>
        </w:numPr>
      </w:pPr>
      <w:r>
        <w:t xml:space="preserve">účetnictví a účetní závěrky </w:t>
      </w:r>
      <w:r w:rsidRPr="00CF47B2">
        <w:t>obchodních společností všech právních forem (veřejná obchodní společnost, komanditní společnost, společnost s ručením omezeným a</w:t>
      </w:r>
      <w:r>
        <w:t> </w:t>
      </w:r>
      <w:r w:rsidRPr="00CF47B2">
        <w:t>akciová společnost),</w:t>
      </w:r>
    </w:p>
    <w:p w:rsidR="00B16467" w:rsidRPr="00CF47B2" w:rsidRDefault="00B16467" w:rsidP="00B16467">
      <w:pPr>
        <w:pStyle w:val="Zkladntext"/>
        <w:numPr>
          <w:ilvl w:val="0"/>
          <w:numId w:val="3"/>
        </w:numPr>
      </w:pPr>
      <w:r>
        <w:t>koncepční rámec k mezinárodním standardům účetního výkaznictví IFRS,</w:t>
      </w:r>
    </w:p>
    <w:p w:rsidR="00B16467" w:rsidRPr="00CF47B2" w:rsidRDefault="00B16467" w:rsidP="00B16467">
      <w:pPr>
        <w:pStyle w:val="Zkladntext"/>
        <w:numPr>
          <w:ilvl w:val="0"/>
          <w:numId w:val="3"/>
        </w:numPr>
      </w:pPr>
      <w:r w:rsidRPr="00CF47B2">
        <w:t>řešení jednotlivých oblastí účetnictví v mezinárodních standardech účetního výkaznictví</w:t>
      </w:r>
      <w:r>
        <w:t xml:space="preserve"> IFRS.</w:t>
      </w:r>
    </w:p>
    <w:p w:rsidR="00B16467" w:rsidRPr="00CF47B2" w:rsidRDefault="00B16467" w:rsidP="00B16467">
      <w:pPr>
        <w:pStyle w:val="Nadpis3"/>
      </w:pPr>
      <w:bookmarkStart w:id="20" w:name="_Toc418595879"/>
      <w:bookmarkStart w:id="21" w:name="_Toc485715343"/>
      <w:r w:rsidRPr="00CF47B2">
        <w:t>Vymezení témat</w:t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p w:rsidR="00B16467" w:rsidRDefault="00B16467" w:rsidP="00B16467">
      <w:pPr>
        <w:spacing w:before="120"/>
        <w:ind w:left="360"/>
        <w:jc w:val="both"/>
      </w:pPr>
      <w:bookmarkStart w:id="22" w:name="_Toc58751809"/>
      <w:bookmarkStart w:id="23" w:name="_Toc126057034"/>
      <w:bookmarkStart w:id="24" w:name="_Toc126057431"/>
      <w:bookmarkStart w:id="25" w:name="_Toc126057581"/>
      <w:bookmarkStart w:id="26" w:name="_Toc132785692"/>
      <w:bookmarkStart w:id="27" w:name="_Toc254863240"/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8329"/>
      </w:tblGrid>
      <w:tr w:rsidR="00B16467" w:rsidTr="004A4248">
        <w:tc>
          <w:tcPr>
            <w:tcW w:w="599" w:type="dxa"/>
          </w:tcPr>
          <w:p w:rsidR="00B16467" w:rsidRDefault="00B16467" w:rsidP="004A4248">
            <w:pPr>
              <w:spacing w:before="120"/>
              <w:jc w:val="both"/>
            </w:pPr>
            <w:r>
              <w:t>1.</w:t>
            </w:r>
          </w:p>
        </w:tc>
        <w:tc>
          <w:tcPr>
            <w:tcW w:w="8329" w:type="dxa"/>
          </w:tcPr>
          <w:p w:rsidR="00B16467" w:rsidRPr="00FF5BB9" w:rsidRDefault="00B16467" w:rsidP="004A4248">
            <w:pPr>
              <w:spacing w:before="120"/>
              <w:jc w:val="both"/>
              <w:rPr>
                <w:b/>
                <w:bCs/>
              </w:rPr>
            </w:pPr>
            <w:r w:rsidRPr="00FF5BB9">
              <w:rPr>
                <w:b/>
                <w:bCs/>
              </w:rPr>
              <w:t xml:space="preserve">Účetní propedeutika </w:t>
            </w:r>
          </w:p>
          <w:p w:rsidR="00B16467" w:rsidRDefault="00B16467" w:rsidP="004A4248">
            <w:pPr>
              <w:pStyle w:val="Odstavecseseznamem"/>
              <w:numPr>
                <w:ilvl w:val="4"/>
                <w:numId w:val="1"/>
              </w:numPr>
              <w:spacing w:before="120"/>
              <w:ind w:left="459"/>
              <w:jc w:val="both"/>
            </w:pPr>
            <w:r>
              <w:t xml:space="preserve">podstata a charakteristické rysy účetnictví </w:t>
            </w:r>
          </w:p>
          <w:p w:rsidR="00B16467" w:rsidRDefault="00B16467" w:rsidP="004A4248">
            <w:pPr>
              <w:pStyle w:val="Odstavecseseznamem"/>
              <w:numPr>
                <w:ilvl w:val="4"/>
                <w:numId w:val="1"/>
              </w:numPr>
              <w:spacing w:before="120"/>
              <w:ind w:left="459"/>
              <w:jc w:val="both"/>
            </w:pPr>
            <w:r>
              <w:t xml:space="preserve">základní funkce účetnictví </w:t>
            </w:r>
          </w:p>
          <w:p w:rsidR="00B16467" w:rsidRDefault="00B16467" w:rsidP="004A4248">
            <w:pPr>
              <w:pStyle w:val="Odstavecseseznamem"/>
              <w:numPr>
                <w:ilvl w:val="4"/>
                <w:numId w:val="1"/>
              </w:numPr>
              <w:spacing w:before="120"/>
              <w:ind w:left="459"/>
              <w:jc w:val="both"/>
            </w:pPr>
            <w:r>
              <w:t xml:space="preserve">finanční </w:t>
            </w:r>
            <w:proofErr w:type="spellStart"/>
            <w:r>
              <w:t>vs</w:t>
            </w:r>
            <w:proofErr w:type="spellEnd"/>
            <w:r>
              <w:t xml:space="preserve"> manažerské účetnictví</w:t>
            </w:r>
          </w:p>
          <w:p w:rsidR="00B16467" w:rsidRDefault="00B16467" w:rsidP="004A4248">
            <w:pPr>
              <w:pStyle w:val="Odstavecseseznamem"/>
              <w:numPr>
                <w:ilvl w:val="4"/>
                <w:numId w:val="1"/>
              </w:numPr>
              <w:spacing w:before="120"/>
              <w:ind w:left="459"/>
              <w:jc w:val="both"/>
            </w:pPr>
            <w:r>
              <w:t xml:space="preserve">uživatelé účetních informací </w:t>
            </w:r>
          </w:p>
          <w:p w:rsidR="00B16467" w:rsidRDefault="00B16467" w:rsidP="004A4248">
            <w:pPr>
              <w:pStyle w:val="Odstavecseseznamem"/>
              <w:numPr>
                <w:ilvl w:val="4"/>
                <w:numId w:val="1"/>
              </w:numPr>
              <w:spacing w:before="120"/>
              <w:ind w:left="459"/>
              <w:jc w:val="both"/>
            </w:pPr>
            <w:r>
              <w:t>účetní knihy</w:t>
            </w:r>
          </w:p>
          <w:p w:rsidR="00B16467" w:rsidRDefault="00B16467" w:rsidP="004A4248">
            <w:pPr>
              <w:pStyle w:val="Odstavecseseznamem"/>
              <w:numPr>
                <w:ilvl w:val="4"/>
                <w:numId w:val="1"/>
              </w:numPr>
              <w:spacing w:before="120"/>
              <w:ind w:left="459"/>
              <w:jc w:val="both"/>
            </w:pPr>
            <w:r>
              <w:t xml:space="preserve">účetní a daňové doklady </w:t>
            </w:r>
          </w:p>
          <w:p w:rsidR="00B16467" w:rsidRDefault="00B16467" w:rsidP="004A4248">
            <w:pPr>
              <w:pStyle w:val="Odstavecseseznamem"/>
              <w:numPr>
                <w:ilvl w:val="4"/>
                <w:numId w:val="1"/>
              </w:numPr>
              <w:spacing w:before="120"/>
              <w:ind w:left="459"/>
              <w:jc w:val="both"/>
            </w:pPr>
            <w:r>
              <w:t>úschova účetních záznamů</w:t>
            </w:r>
          </w:p>
          <w:p w:rsidR="00B16467" w:rsidRDefault="00B16467" w:rsidP="004A4248">
            <w:pPr>
              <w:pStyle w:val="Odstavecseseznamem"/>
              <w:numPr>
                <w:ilvl w:val="4"/>
                <w:numId w:val="1"/>
              </w:numPr>
              <w:spacing w:before="120"/>
              <w:ind w:left="459"/>
              <w:jc w:val="both"/>
            </w:pPr>
            <w:r>
              <w:t xml:space="preserve">opravy účetních zápisů </w:t>
            </w:r>
          </w:p>
        </w:tc>
      </w:tr>
      <w:tr w:rsidR="00B16467" w:rsidTr="004A4248">
        <w:tc>
          <w:tcPr>
            <w:tcW w:w="599" w:type="dxa"/>
          </w:tcPr>
          <w:p w:rsidR="00B16467" w:rsidRDefault="00B16467" w:rsidP="004A4248">
            <w:pPr>
              <w:spacing w:before="120"/>
              <w:jc w:val="both"/>
            </w:pPr>
            <w:r>
              <w:t>2.</w:t>
            </w:r>
          </w:p>
        </w:tc>
        <w:tc>
          <w:tcPr>
            <w:tcW w:w="8329" w:type="dxa"/>
          </w:tcPr>
          <w:p w:rsidR="00B16467" w:rsidRPr="00FF5BB9" w:rsidRDefault="00B16467" w:rsidP="004A4248">
            <w:pPr>
              <w:spacing w:before="120"/>
              <w:jc w:val="both"/>
              <w:rPr>
                <w:b/>
                <w:bCs/>
              </w:rPr>
            </w:pPr>
            <w:r w:rsidRPr="00FF5BB9">
              <w:rPr>
                <w:b/>
                <w:bCs/>
              </w:rPr>
              <w:t>Legislativní úprava účetnictví v České republice</w:t>
            </w:r>
          </w:p>
          <w:p w:rsidR="00B16467" w:rsidRDefault="00B16467" w:rsidP="004A4248">
            <w:pPr>
              <w:pStyle w:val="Odstavecseseznamem"/>
              <w:numPr>
                <w:ilvl w:val="4"/>
                <w:numId w:val="1"/>
              </w:numPr>
              <w:spacing w:before="120"/>
              <w:ind w:left="459"/>
              <w:jc w:val="both"/>
            </w:pPr>
            <w:r>
              <w:t xml:space="preserve">česká pravidla (Zákon o účetnictví, vyhláška 500/2002 Sb., České účetní standardy pro podnikatele, interpretace Národní účetní rady) </w:t>
            </w:r>
          </w:p>
          <w:p w:rsidR="00B16467" w:rsidRDefault="00B16467" w:rsidP="004A4248">
            <w:pPr>
              <w:pStyle w:val="Odstavecseseznamem"/>
              <w:numPr>
                <w:ilvl w:val="4"/>
                <w:numId w:val="1"/>
              </w:numPr>
              <w:spacing w:before="120"/>
              <w:ind w:left="459"/>
              <w:jc w:val="both"/>
            </w:pPr>
            <w:r>
              <w:t>použití IFRS (Koncepční rámec IFRS, standardy IAS/IFRS, interpretace SIC/IFRIC)</w:t>
            </w:r>
          </w:p>
          <w:p w:rsidR="00B16467" w:rsidRDefault="00B16467" w:rsidP="004A4248">
            <w:pPr>
              <w:pStyle w:val="Odstavecseseznamem"/>
              <w:numPr>
                <w:ilvl w:val="4"/>
                <w:numId w:val="1"/>
              </w:numPr>
              <w:spacing w:before="120"/>
              <w:ind w:left="459"/>
              <w:jc w:val="both"/>
            </w:pPr>
            <w:r>
              <w:t xml:space="preserve">směrnice EU a jejich ukotvení v české legislativě </w:t>
            </w:r>
          </w:p>
          <w:p w:rsidR="00B16467" w:rsidRDefault="00B16467" w:rsidP="004A4248">
            <w:pPr>
              <w:pStyle w:val="Odstavecseseznamem"/>
              <w:numPr>
                <w:ilvl w:val="4"/>
                <w:numId w:val="1"/>
              </w:numPr>
              <w:spacing w:before="120"/>
              <w:ind w:left="459"/>
              <w:jc w:val="both"/>
            </w:pPr>
            <w:r>
              <w:t xml:space="preserve">vztah účetnictví a daní v ČR  </w:t>
            </w:r>
          </w:p>
          <w:p w:rsidR="00B16467" w:rsidRDefault="00B16467" w:rsidP="004A4248">
            <w:pPr>
              <w:pStyle w:val="Odstavecseseznamem"/>
              <w:numPr>
                <w:ilvl w:val="4"/>
                <w:numId w:val="1"/>
              </w:numPr>
              <w:spacing w:before="120"/>
              <w:ind w:left="459"/>
              <w:jc w:val="both"/>
            </w:pPr>
            <w:r>
              <w:lastRenderedPageBreak/>
              <w:t xml:space="preserve">Koncepční rámec IFRS (definice aktiv, dluhů, vlastního kapitálu, nákladů a výnosů, pojetí a uchování kapitálu, oceňovací báze) </w:t>
            </w:r>
          </w:p>
          <w:p w:rsidR="00B16467" w:rsidRDefault="00B16467" w:rsidP="004A4248">
            <w:pPr>
              <w:pStyle w:val="Odstavecseseznamem"/>
              <w:numPr>
                <w:ilvl w:val="4"/>
                <w:numId w:val="1"/>
              </w:numPr>
              <w:spacing w:before="120"/>
              <w:ind w:left="459"/>
              <w:jc w:val="both"/>
            </w:pPr>
            <w:r>
              <w:t>obecně uznávané zásady</w:t>
            </w:r>
          </w:p>
        </w:tc>
      </w:tr>
      <w:tr w:rsidR="00B16467" w:rsidTr="004A4248">
        <w:tc>
          <w:tcPr>
            <w:tcW w:w="599" w:type="dxa"/>
          </w:tcPr>
          <w:p w:rsidR="00B16467" w:rsidRDefault="00B16467" w:rsidP="004A4248">
            <w:pPr>
              <w:spacing w:before="120"/>
              <w:jc w:val="both"/>
            </w:pPr>
            <w:r>
              <w:lastRenderedPageBreak/>
              <w:t>3.</w:t>
            </w:r>
          </w:p>
        </w:tc>
        <w:tc>
          <w:tcPr>
            <w:tcW w:w="8329" w:type="dxa"/>
          </w:tcPr>
          <w:p w:rsidR="00B16467" w:rsidRPr="00FF5BB9" w:rsidRDefault="00B16467" w:rsidP="004A4248">
            <w:pPr>
              <w:spacing w:before="120"/>
              <w:jc w:val="both"/>
              <w:rPr>
                <w:b/>
                <w:bCs/>
              </w:rPr>
            </w:pPr>
            <w:r w:rsidRPr="00FF5BB9">
              <w:rPr>
                <w:b/>
                <w:bCs/>
              </w:rPr>
              <w:t>Dlouhodobý nehmotný a hmotný majetek</w:t>
            </w:r>
          </w:p>
          <w:p w:rsidR="00B16467" w:rsidRDefault="00B16467" w:rsidP="004A4248">
            <w:pPr>
              <w:pStyle w:val="Odstavecseseznamem"/>
              <w:numPr>
                <w:ilvl w:val="4"/>
                <w:numId w:val="1"/>
              </w:numPr>
              <w:spacing w:before="120"/>
              <w:ind w:left="459"/>
              <w:jc w:val="both"/>
            </w:pPr>
            <w:r>
              <w:t xml:space="preserve">pořízení, odpisy (účetní </w:t>
            </w:r>
            <w:proofErr w:type="spellStart"/>
            <w:r>
              <w:t>vs</w:t>
            </w:r>
            <w:proofErr w:type="spellEnd"/>
            <w:r>
              <w:t xml:space="preserve"> daňové) a vyřazení dlouhodobého nehmotného a hmotného majetku, dotace na pořízení stálých aktiv</w:t>
            </w:r>
          </w:p>
          <w:p w:rsidR="00B16467" w:rsidRDefault="00B16467" w:rsidP="004A4248">
            <w:pPr>
              <w:pStyle w:val="Odstavecseseznamem"/>
              <w:numPr>
                <w:ilvl w:val="4"/>
                <w:numId w:val="1"/>
              </w:numPr>
              <w:spacing w:before="120"/>
              <w:ind w:left="459"/>
              <w:jc w:val="both"/>
            </w:pPr>
            <w:r>
              <w:t>identifikace goodwillu</w:t>
            </w:r>
          </w:p>
          <w:p w:rsidR="00B16467" w:rsidRDefault="00B16467" w:rsidP="004A4248">
            <w:pPr>
              <w:pStyle w:val="Odstavecseseznamem"/>
              <w:numPr>
                <w:ilvl w:val="4"/>
                <w:numId w:val="1"/>
              </w:numPr>
              <w:spacing w:before="120"/>
              <w:ind w:left="459"/>
              <w:jc w:val="both"/>
            </w:pPr>
            <w:r>
              <w:t>technické zhodnocení dlouhodobého nehmotného a hmotného majetku (</w:t>
            </w:r>
            <w:proofErr w:type="spellStart"/>
            <w:r>
              <w:t>vs</w:t>
            </w:r>
            <w:proofErr w:type="spellEnd"/>
            <w:r>
              <w:t xml:space="preserve"> opravy)</w:t>
            </w:r>
          </w:p>
          <w:p w:rsidR="00B16467" w:rsidRDefault="00B16467" w:rsidP="004A4248">
            <w:pPr>
              <w:pStyle w:val="Odstavecseseznamem"/>
              <w:numPr>
                <w:ilvl w:val="4"/>
                <w:numId w:val="1"/>
              </w:numPr>
              <w:spacing w:before="120"/>
              <w:ind w:left="459"/>
              <w:jc w:val="both"/>
            </w:pPr>
            <w:r>
              <w:t>provozní a finanční leasingy</w:t>
            </w:r>
          </w:p>
          <w:p w:rsidR="00B16467" w:rsidRDefault="00B16467" w:rsidP="004A4248">
            <w:pPr>
              <w:pStyle w:val="Odstavecseseznamem"/>
              <w:numPr>
                <w:ilvl w:val="4"/>
                <w:numId w:val="1"/>
              </w:numPr>
              <w:spacing w:before="120"/>
              <w:ind w:left="459"/>
              <w:jc w:val="both"/>
            </w:pPr>
            <w:r>
              <w:t xml:space="preserve">požadavky na zveřejnění v příloze </w:t>
            </w:r>
          </w:p>
          <w:p w:rsidR="00B16467" w:rsidRDefault="00B16467" w:rsidP="004A4248">
            <w:pPr>
              <w:pStyle w:val="Odstavecseseznamem"/>
              <w:numPr>
                <w:ilvl w:val="4"/>
                <w:numId w:val="1"/>
              </w:numPr>
              <w:spacing w:before="120"/>
              <w:ind w:left="459"/>
              <w:jc w:val="both"/>
            </w:pPr>
            <w:r>
              <w:t>pohled IAS 16 na položku pozemky, budovy a zařízení</w:t>
            </w:r>
          </w:p>
          <w:p w:rsidR="00B16467" w:rsidRDefault="00B16467" w:rsidP="004A4248">
            <w:pPr>
              <w:pStyle w:val="Odstavecseseznamem"/>
              <w:numPr>
                <w:ilvl w:val="4"/>
                <w:numId w:val="1"/>
              </w:numPr>
              <w:spacing w:before="120"/>
              <w:ind w:left="459"/>
              <w:jc w:val="both"/>
            </w:pPr>
            <w:r>
              <w:t>pohled IAS 36 na snížení hodnoty aktiv</w:t>
            </w:r>
          </w:p>
          <w:p w:rsidR="00B16467" w:rsidRDefault="00B16467" w:rsidP="004A4248">
            <w:pPr>
              <w:pStyle w:val="Odstavecseseznamem"/>
              <w:numPr>
                <w:ilvl w:val="4"/>
                <w:numId w:val="1"/>
              </w:numPr>
              <w:spacing w:before="120"/>
              <w:ind w:left="459"/>
              <w:jc w:val="both"/>
            </w:pPr>
            <w:r>
              <w:t>pohled IAS 38 na položku nehmotná aktiva</w:t>
            </w:r>
          </w:p>
          <w:p w:rsidR="00B16467" w:rsidRDefault="00B16467" w:rsidP="004A4248">
            <w:pPr>
              <w:pStyle w:val="Odstavecseseznamem"/>
              <w:numPr>
                <w:ilvl w:val="4"/>
                <w:numId w:val="1"/>
              </w:numPr>
              <w:spacing w:before="120"/>
              <w:ind w:left="459"/>
              <w:jc w:val="both"/>
            </w:pPr>
            <w:r>
              <w:t>pohled IAS 40 na investice do nemovitých věcí</w:t>
            </w:r>
          </w:p>
          <w:p w:rsidR="00B16467" w:rsidRDefault="00B16467" w:rsidP="004A4248">
            <w:pPr>
              <w:pStyle w:val="Odstavecseseznamem"/>
              <w:numPr>
                <w:ilvl w:val="4"/>
                <w:numId w:val="1"/>
              </w:numPr>
              <w:spacing w:before="120"/>
              <w:ind w:left="459"/>
              <w:jc w:val="both"/>
            </w:pPr>
            <w:r>
              <w:t>pohled IFRS 3 na problematiku goodwillu</w:t>
            </w:r>
          </w:p>
          <w:p w:rsidR="00B16467" w:rsidRDefault="00B16467" w:rsidP="004A4248">
            <w:pPr>
              <w:pStyle w:val="Odstavecseseznamem"/>
              <w:numPr>
                <w:ilvl w:val="4"/>
                <w:numId w:val="1"/>
              </w:numPr>
              <w:spacing w:before="120"/>
              <w:ind w:left="459"/>
              <w:jc w:val="both"/>
            </w:pPr>
            <w:r>
              <w:t>pohled IFRS 5 na stálá aktiva určená k prodeji</w:t>
            </w:r>
          </w:p>
          <w:p w:rsidR="00B16467" w:rsidRDefault="00B16467" w:rsidP="004A4248">
            <w:pPr>
              <w:pStyle w:val="Odstavecseseznamem"/>
              <w:numPr>
                <w:ilvl w:val="4"/>
                <w:numId w:val="1"/>
              </w:numPr>
              <w:spacing w:before="120"/>
              <w:ind w:left="459"/>
              <w:jc w:val="both"/>
            </w:pPr>
            <w:r>
              <w:t xml:space="preserve">pohled IFRS 16 na leasingy (nájemce </w:t>
            </w:r>
            <w:proofErr w:type="spellStart"/>
            <w:r>
              <w:t>vs</w:t>
            </w:r>
            <w:proofErr w:type="spellEnd"/>
            <w:r>
              <w:t xml:space="preserve"> pronajímatel)</w:t>
            </w:r>
          </w:p>
        </w:tc>
      </w:tr>
      <w:tr w:rsidR="00B16467" w:rsidTr="004A4248">
        <w:tc>
          <w:tcPr>
            <w:tcW w:w="599" w:type="dxa"/>
          </w:tcPr>
          <w:p w:rsidR="00B16467" w:rsidRDefault="00B16467" w:rsidP="004A4248">
            <w:pPr>
              <w:spacing w:before="120"/>
              <w:jc w:val="both"/>
            </w:pPr>
            <w:r>
              <w:t>4.</w:t>
            </w:r>
          </w:p>
        </w:tc>
        <w:tc>
          <w:tcPr>
            <w:tcW w:w="8329" w:type="dxa"/>
          </w:tcPr>
          <w:p w:rsidR="00B16467" w:rsidRPr="00FF5BB9" w:rsidRDefault="00B16467" w:rsidP="004A4248">
            <w:pPr>
              <w:spacing w:before="120"/>
              <w:jc w:val="both"/>
              <w:rPr>
                <w:b/>
                <w:bCs/>
              </w:rPr>
            </w:pPr>
            <w:r w:rsidRPr="00FF5BB9">
              <w:rPr>
                <w:b/>
                <w:bCs/>
              </w:rPr>
              <w:t>Zásoby</w:t>
            </w:r>
          </w:p>
          <w:p w:rsidR="00B16467" w:rsidRDefault="00B16467" w:rsidP="004A4248">
            <w:pPr>
              <w:pStyle w:val="Odstavecseseznamem"/>
              <w:numPr>
                <w:ilvl w:val="4"/>
                <w:numId w:val="1"/>
              </w:numPr>
              <w:spacing w:before="120"/>
              <w:ind w:left="459"/>
              <w:jc w:val="both"/>
            </w:pPr>
            <w:r>
              <w:t>klasifikace zásob (nakupované, vyrobené vlastní činností) a jejich oceňování</w:t>
            </w:r>
          </w:p>
          <w:p w:rsidR="00B16467" w:rsidRDefault="00B16467" w:rsidP="004A4248">
            <w:pPr>
              <w:pStyle w:val="Odstavecseseznamem"/>
              <w:numPr>
                <w:ilvl w:val="4"/>
                <w:numId w:val="1"/>
              </w:numPr>
              <w:spacing w:before="120"/>
              <w:ind w:left="459"/>
              <w:jc w:val="both"/>
            </w:pPr>
            <w:r>
              <w:t xml:space="preserve">techniky pro ocenění vyřazení zásob téhož druhu </w:t>
            </w:r>
          </w:p>
          <w:p w:rsidR="00B16467" w:rsidRDefault="00B16467" w:rsidP="004A4248">
            <w:pPr>
              <w:pStyle w:val="Odstavecseseznamem"/>
              <w:numPr>
                <w:ilvl w:val="4"/>
                <w:numId w:val="1"/>
              </w:numPr>
              <w:spacing w:before="120"/>
              <w:ind w:left="459"/>
              <w:jc w:val="both"/>
            </w:pPr>
            <w:r>
              <w:t xml:space="preserve">způsoby účtování zásob (průběžný </w:t>
            </w:r>
            <w:proofErr w:type="spellStart"/>
            <w:r>
              <w:t>vs</w:t>
            </w:r>
            <w:proofErr w:type="spellEnd"/>
            <w:r>
              <w:t xml:space="preserve"> periodický)</w:t>
            </w:r>
          </w:p>
          <w:p w:rsidR="00B16467" w:rsidRDefault="00B16467" w:rsidP="004A4248">
            <w:pPr>
              <w:pStyle w:val="Odstavecseseznamem"/>
              <w:numPr>
                <w:ilvl w:val="4"/>
                <w:numId w:val="1"/>
              </w:numPr>
              <w:spacing w:before="120"/>
              <w:ind w:left="459"/>
              <w:jc w:val="both"/>
            </w:pPr>
            <w:r>
              <w:t>dočasné a trvalé rozdíly v ocenění zásob</w:t>
            </w:r>
          </w:p>
          <w:p w:rsidR="00B16467" w:rsidRDefault="00B16467" w:rsidP="004A4248">
            <w:pPr>
              <w:pStyle w:val="Odstavecseseznamem"/>
              <w:numPr>
                <w:ilvl w:val="4"/>
                <w:numId w:val="1"/>
              </w:numPr>
              <w:spacing w:before="120"/>
              <w:ind w:left="459"/>
              <w:jc w:val="both"/>
            </w:pPr>
            <w:r>
              <w:t>požadavky na zveřejnění v příloze</w:t>
            </w:r>
          </w:p>
          <w:p w:rsidR="00B16467" w:rsidRDefault="00B16467" w:rsidP="004A4248">
            <w:pPr>
              <w:pStyle w:val="Odstavecseseznamem"/>
              <w:numPr>
                <w:ilvl w:val="4"/>
                <w:numId w:val="1"/>
              </w:numPr>
              <w:spacing w:before="120"/>
              <w:ind w:left="459"/>
              <w:jc w:val="both"/>
            </w:pPr>
            <w:r>
              <w:t>zásoby podle IAS 2</w:t>
            </w:r>
          </w:p>
        </w:tc>
      </w:tr>
      <w:tr w:rsidR="00B16467" w:rsidTr="004A4248">
        <w:tc>
          <w:tcPr>
            <w:tcW w:w="599" w:type="dxa"/>
          </w:tcPr>
          <w:p w:rsidR="00B16467" w:rsidRDefault="00B16467" w:rsidP="004A4248">
            <w:pPr>
              <w:spacing w:before="120"/>
              <w:jc w:val="both"/>
            </w:pPr>
            <w:r>
              <w:t>5.</w:t>
            </w:r>
          </w:p>
        </w:tc>
        <w:tc>
          <w:tcPr>
            <w:tcW w:w="8329" w:type="dxa"/>
          </w:tcPr>
          <w:p w:rsidR="00B16467" w:rsidRPr="00FF5BB9" w:rsidRDefault="00B16467" w:rsidP="004A4248">
            <w:pPr>
              <w:spacing w:before="120"/>
              <w:jc w:val="both"/>
              <w:rPr>
                <w:b/>
                <w:bCs/>
              </w:rPr>
            </w:pPr>
            <w:r w:rsidRPr="00FF5BB9">
              <w:rPr>
                <w:b/>
                <w:bCs/>
              </w:rPr>
              <w:t>Cenné papíry a deriváty</w:t>
            </w:r>
          </w:p>
          <w:p w:rsidR="00B16467" w:rsidRDefault="00B16467" w:rsidP="004A4248">
            <w:pPr>
              <w:pStyle w:val="Odstavecseseznamem"/>
              <w:numPr>
                <w:ilvl w:val="4"/>
                <w:numId w:val="1"/>
              </w:numPr>
              <w:spacing w:before="120"/>
              <w:ind w:left="459"/>
              <w:jc w:val="both"/>
            </w:pPr>
            <w:r>
              <w:t>majetkové cenné papíry z pohledu investora (akcie a podíly, rozhodující x podstatný x menšinový vliv x majetkové cenné papíry k obchodování)</w:t>
            </w:r>
          </w:p>
          <w:p w:rsidR="00B16467" w:rsidRDefault="00B16467" w:rsidP="004A4248">
            <w:pPr>
              <w:pStyle w:val="Odstavecseseznamem"/>
              <w:numPr>
                <w:ilvl w:val="4"/>
                <w:numId w:val="1"/>
              </w:numPr>
              <w:spacing w:before="120"/>
              <w:ind w:left="459"/>
              <w:jc w:val="both"/>
            </w:pPr>
            <w:r>
              <w:t>dluhové cenné papíry z pohledu investora (diskontované dluhopisy, kuponové dluhopisy, šeky a směnky)</w:t>
            </w:r>
          </w:p>
          <w:p w:rsidR="00B16467" w:rsidRDefault="00B16467" w:rsidP="004A4248">
            <w:pPr>
              <w:pStyle w:val="Odstavecseseznamem"/>
              <w:numPr>
                <w:ilvl w:val="4"/>
                <w:numId w:val="1"/>
              </w:numPr>
              <w:spacing w:before="120"/>
              <w:ind w:left="459"/>
              <w:jc w:val="both"/>
            </w:pPr>
            <w:r>
              <w:t xml:space="preserve">dluhové cenné papíry z pohledu emitenta </w:t>
            </w:r>
          </w:p>
          <w:p w:rsidR="00B16467" w:rsidRDefault="00B16467" w:rsidP="004A4248">
            <w:pPr>
              <w:pStyle w:val="Odstavecseseznamem"/>
              <w:numPr>
                <w:ilvl w:val="4"/>
                <w:numId w:val="1"/>
              </w:numPr>
              <w:spacing w:before="120"/>
              <w:ind w:left="459"/>
              <w:jc w:val="both"/>
            </w:pPr>
            <w:r>
              <w:t>derivátové kontrakty (účtování pevných termínových transakcí a opčních kontraktů)</w:t>
            </w:r>
          </w:p>
          <w:p w:rsidR="00B16467" w:rsidRDefault="00B16467" w:rsidP="004A4248">
            <w:pPr>
              <w:pStyle w:val="Odstavecseseznamem"/>
              <w:numPr>
                <w:ilvl w:val="4"/>
                <w:numId w:val="1"/>
              </w:numPr>
              <w:spacing w:before="120"/>
              <w:ind w:left="459"/>
              <w:jc w:val="both"/>
            </w:pPr>
            <w:r>
              <w:t>zajišťovací účetnictví</w:t>
            </w:r>
          </w:p>
          <w:p w:rsidR="00B16467" w:rsidRDefault="00B16467" w:rsidP="004A4248">
            <w:pPr>
              <w:pStyle w:val="Odstavecseseznamem"/>
              <w:numPr>
                <w:ilvl w:val="4"/>
                <w:numId w:val="1"/>
              </w:numPr>
              <w:spacing w:before="120"/>
              <w:ind w:left="459"/>
              <w:jc w:val="both"/>
            </w:pPr>
            <w:r>
              <w:t>požadavky na zveřejnění v příloze</w:t>
            </w:r>
          </w:p>
          <w:p w:rsidR="00B16467" w:rsidRDefault="00B16467" w:rsidP="004A4248">
            <w:pPr>
              <w:pStyle w:val="Odstavecseseznamem"/>
              <w:numPr>
                <w:ilvl w:val="4"/>
                <w:numId w:val="1"/>
              </w:numPr>
              <w:spacing w:before="120"/>
              <w:ind w:left="459"/>
              <w:jc w:val="both"/>
            </w:pPr>
            <w:r>
              <w:t xml:space="preserve">pohled IFRS 9 (portfolia FVTPL, AC a FVOCI) </w:t>
            </w:r>
          </w:p>
          <w:p w:rsidR="00B16467" w:rsidRDefault="00B16467" w:rsidP="004A4248">
            <w:pPr>
              <w:pStyle w:val="Odstavecseseznamem"/>
              <w:numPr>
                <w:ilvl w:val="4"/>
                <w:numId w:val="1"/>
              </w:numPr>
              <w:spacing w:before="120"/>
              <w:ind w:left="459"/>
              <w:jc w:val="both"/>
            </w:pPr>
            <w:r>
              <w:t xml:space="preserve">pohled IFRS 7 (analýza citlivosti) </w:t>
            </w:r>
          </w:p>
        </w:tc>
      </w:tr>
      <w:tr w:rsidR="00B16467" w:rsidTr="004A4248">
        <w:tc>
          <w:tcPr>
            <w:tcW w:w="599" w:type="dxa"/>
          </w:tcPr>
          <w:p w:rsidR="00B16467" w:rsidRDefault="00B16467" w:rsidP="004A4248">
            <w:pPr>
              <w:spacing w:before="120"/>
              <w:jc w:val="both"/>
            </w:pPr>
            <w:r>
              <w:t>6.</w:t>
            </w:r>
          </w:p>
        </w:tc>
        <w:tc>
          <w:tcPr>
            <w:tcW w:w="8329" w:type="dxa"/>
          </w:tcPr>
          <w:p w:rsidR="00B16467" w:rsidRPr="00FF5BB9" w:rsidRDefault="00B16467" w:rsidP="004A4248">
            <w:pPr>
              <w:spacing w:before="120"/>
              <w:jc w:val="both"/>
              <w:rPr>
                <w:b/>
                <w:bCs/>
              </w:rPr>
            </w:pPr>
            <w:r w:rsidRPr="00FF5BB9">
              <w:rPr>
                <w:b/>
                <w:bCs/>
              </w:rPr>
              <w:t>Peněžní prostředky a úvěry</w:t>
            </w:r>
          </w:p>
          <w:p w:rsidR="00B16467" w:rsidRDefault="00B16467" w:rsidP="004A4248">
            <w:pPr>
              <w:pStyle w:val="Odstavecseseznamem"/>
              <w:numPr>
                <w:ilvl w:val="4"/>
                <w:numId w:val="1"/>
              </w:numPr>
              <w:spacing w:before="120"/>
              <w:ind w:left="459"/>
              <w:jc w:val="both"/>
            </w:pPr>
            <w:r>
              <w:lastRenderedPageBreak/>
              <w:t xml:space="preserve">účtování na pokladně (korunová </w:t>
            </w:r>
            <w:proofErr w:type="spellStart"/>
            <w:r>
              <w:t>vs</w:t>
            </w:r>
            <w:proofErr w:type="spellEnd"/>
            <w:r>
              <w:t xml:space="preserve"> valutová pokladna, hmotná odpovědnost, schodky a přebytky, omezení hotovostních plateb) </w:t>
            </w:r>
          </w:p>
          <w:p w:rsidR="00B16467" w:rsidRDefault="00B16467" w:rsidP="004A4248">
            <w:pPr>
              <w:pStyle w:val="Odstavecseseznamem"/>
              <w:numPr>
                <w:ilvl w:val="4"/>
                <w:numId w:val="1"/>
              </w:numPr>
              <w:spacing w:before="120"/>
              <w:ind w:left="459"/>
              <w:jc w:val="both"/>
            </w:pPr>
            <w:r>
              <w:t xml:space="preserve">účtování cenin (známky, kolky, stravenky, daňové dopady) </w:t>
            </w:r>
          </w:p>
          <w:p w:rsidR="00B16467" w:rsidRDefault="00B16467" w:rsidP="004A4248">
            <w:pPr>
              <w:pStyle w:val="Odstavecseseznamem"/>
              <w:numPr>
                <w:ilvl w:val="4"/>
                <w:numId w:val="1"/>
              </w:numPr>
              <w:spacing w:before="120"/>
              <w:ind w:left="459"/>
              <w:jc w:val="both"/>
            </w:pPr>
            <w:r>
              <w:t>účtování na běžném účtu včetně kontokorentu</w:t>
            </w:r>
          </w:p>
          <w:p w:rsidR="00B16467" w:rsidRDefault="00B16467" w:rsidP="004A4248">
            <w:pPr>
              <w:pStyle w:val="Odstavecseseznamem"/>
              <w:numPr>
                <w:ilvl w:val="4"/>
                <w:numId w:val="1"/>
              </w:numPr>
              <w:spacing w:before="120"/>
              <w:ind w:left="459"/>
              <w:jc w:val="both"/>
            </w:pPr>
            <w:r>
              <w:t>bankovní úvěry a jejich vykazování</w:t>
            </w:r>
          </w:p>
          <w:p w:rsidR="00B16467" w:rsidRDefault="00B16467" w:rsidP="004A4248">
            <w:pPr>
              <w:pStyle w:val="Odstavecseseznamem"/>
              <w:numPr>
                <w:ilvl w:val="4"/>
                <w:numId w:val="1"/>
              </w:numPr>
              <w:spacing w:before="120"/>
              <w:ind w:left="459"/>
              <w:jc w:val="both"/>
            </w:pPr>
            <w:r>
              <w:t xml:space="preserve">požadavky na zveřejnění v příloze </w:t>
            </w:r>
          </w:p>
        </w:tc>
      </w:tr>
      <w:tr w:rsidR="00B16467" w:rsidTr="004A4248">
        <w:tc>
          <w:tcPr>
            <w:tcW w:w="599" w:type="dxa"/>
          </w:tcPr>
          <w:p w:rsidR="00B16467" w:rsidRDefault="00B16467" w:rsidP="004A4248">
            <w:pPr>
              <w:spacing w:before="120"/>
              <w:jc w:val="both"/>
            </w:pPr>
            <w:r>
              <w:lastRenderedPageBreak/>
              <w:t>7.</w:t>
            </w:r>
          </w:p>
        </w:tc>
        <w:tc>
          <w:tcPr>
            <w:tcW w:w="8329" w:type="dxa"/>
          </w:tcPr>
          <w:p w:rsidR="00B16467" w:rsidRPr="00FF5BB9" w:rsidRDefault="00B16467" w:rsidP="004A4248">
            <w:pPr>
              <w:spacing w:before="120"/>
              <w:jc w:val="both"/>
              <w:rPr>
                <w:b/>
                <w:bCs/>
              </w:rPr>
            </w:pPr>
            <w:r w:rsidRPr="00FF5BB9">
              <w:rPr>
                <w:b/>
                <w:bCs/>
              </w:rPr>
              <w:t>Pohledávky a dluhy</w:t>
            </w:r>
          </w:p>
          <w:p w:rsidR="00B16467" w:rsidRDefault="00B16467" w:rsidP="004A4248">
            <w:pPr>
              <w:pStyle w:val="Odstavecseseznamem"/>
              <w:numPr>
                <w:ilvl w:val="4"/>
                <w:numId w:val="1"/>
              </w:numPr>
              <w:spacing w:before="120"/>
              <w:ind w:left="459"/>
              <w:jc w:val="both"/>
            </w:pPr>
            <w:r>
              <w:t xml:space="preserve">pohledávky a závazky z dodavatelsko-odběratelských vztahů, reklamace, zálohy, opravné položky k pohledávkám (účetní </w:t>
            </w:r>
            <w:proofErr w:type="spellStart"/>
            <w:r>
              <w:t>vs</w:t>
            </w:r>
            <w:proofErr w:type="spellEnd"/>
            <w:r>
              <w:t xml:space="preserve"> daňový pohled)</w:t>
            </w:r>
          </w:p>
          <w:p w:rsidR="00B16467" w:rsidRDefault="00B16467" w:rsidP="004A4248">
            <w:pPr>
              <w:pStyle w:val="Odstavecseseznamem"/>
              <w:numPr>
                <w:ilvl w:val="4"/>
                <w:numId w:val="1"/>
              </w:numPr>
              <w:spacing w:before="120"/>
              <w:ind w:left="459"/>
              <w:jc w:val="both"/>
            </w:pPr>
            <w:r>
              <w:t>zúčtování se zaměstnanci a institucemi sociálního zabezpečení a zdravotního pojištění</w:t>
            </w:r>
          </w:p>
          <w:p w:rsidR="00B16467" w:rsidRDefault="00B16467" w:rsidP="004A4248">
            <w:pPr>
              <w:pStyle w:val="Odstavecseseznamem"/>
              <w:numPr>
                <w:ilvl w:val="4"/>
                <w:numId w:val="1"/>
              </w:numPr>
              <w:spacing w:before="120"/>
              <w:ind w:left="459"/>
              <w:jc w:val="both"/>
            </w:pPr>
            <w:r>
              <w:t>zúčtování přímých a nepřímých daní, zúčtování dotací</w:t>
            </w:r>
          </w:p>
          <w:p w:rsidR="00B16467" w:rsidRDefault="00B16467" w:rsidP="004A4248">
            <w:pPr>
              <w:pStyle w:val="Odstavecseseznamem"/>
              <w:numPr>
                <w:ilvl w:val="4"/>
                <w:numId w:val="1"/>
              </w:numPr>
              <w:spacing w:before="120"/>
              <w:ind w:left="459"/>
              <w:jc w:val="both"/>
            </w:pPr>
            <w:r>
              <w:t xml:space="preserve">pohledávky a závazky mezi ovládanými a ovládajícími osobami, ke společníkům a akcionářům, účastníkům sdruženým ve společnosti </w:t>
            </w:r>
          </w:p>
          <w:p w:rsidR="00B16467" w:rsidRDefault="00B16467" w:rsidP="004A4248">
            <w:pPr>
              <w:pStyle w:val="Odstavecseseznamem"/>
              <w:numPr>
                <w:ilvl w:val="4"/>
                <w:numId w:val="1"/>
              </w:numPr>
              <w:spacing w:before="120"/>
              <w:ind w:left="459"/>
              <w:jc w:val="both"/>
            </w:pPr>
            <w:r>
              <w:t>přechodné položky (časové rozlišení, dohadné položky)</w:t>
            </w:r>
          </w:p>
          <w:p w:rsidR="00B16467" w:rsidRDefault="00B16467" w:rsidP="004A4248">
            <w:pPr>
              <w:pStyle w:val="Odstavecseseznamem"/>
              <w:numPr>
                <w:ilvl w:val="4"/>
                <w:numId w:val="1"/>
              </w:numPr>
              <w:spacing w:before="120"/>
              <w:ind w:left="459"/>
              <w:jc w:val="both"/>
            </w:pPr>
            <w:r>
              <w:t>operace v cizí měně</w:t>
            </w:r>
          </w:p>
          <w:p w:rsidR="00B16467" w:rsidRDefault="00B16467" w:rsidP="004A4248">
            <w:pPr>
              <w:pStyle w:val="Odstavecseseznamem"/>
              <w:numPr>
                <w:ilvl w:val="4"/>
                <w:numId w:val="1"/>
              </w:numPr>
              <w:spacing w:before="120"/>
              <w:ind w:left="459"/>
              <w:jc w:val="both"/>
            </w:pPr>
            <w:r>
              <w:t>požadavky na zveřejnění v příloze</w:t>
            </w:r>
          </w:p>
          <w:p w:rsidR="00B16467" w:rsidRDefault="00B16467" w:rsidP="004A4248">
            <w:pPr>
              <w:pStyle w:val="Odstavecseseznamem"/>
              <w:numPr>
                <w:ilvl w:val="4"/>
                <w:numId w:val="1"/>
              </w:numPr>
              <w:spacing w:before="120"/>
              <w:ind w:left="459"/>
              <w:jc w:val="both"/>
            </w:pPr>
            <w:r>
              <w:t>oceňování pohledávek a dluhů podle IFRS 9</w:t>
            </w:r>
          </w:p>
          <w:p w:rsidR="00B16467" w:rsidRDefault="00B16467" w:rsidP="004A4248">
            <w:pPr>
              <w:pStyle w:val="Odstavecseseznamem"/>
              <w:numPr>
                <w:ilvl w:val="4"/>
                <w:numId w:val="1"/>
              </w:numPr>
              <w:spacing w:before="120"/>
              <w:ind w:left="459"/>
              <w:jc w:val="both"/>
            </w:pPr>
            <w:proofErr w:type="spellStart"/>
            <w:r>
              <w:t>cizoměnové</w:t>
            </w:r>
            <w:proofErr w:type="spellEnd"/>
            <w:r>
              <w:t xml:space="preserve"> transakce podle IAS 21</w:t>
            </w:r>
          </w:p>
        </w:tc>
      </w:tr>
      <w:tr w:rsidR="00B16467" w:rsidTr="004A4248">
        <w:tc>
          <w:tcPr>
            <w:tcW w:w="599" w:type="dxa"/>
          </w:tcPr>
          <w:p w:rsidR="00B16467" w:rsidRDefault="00B16467" w:rsidP="004A4248">
            <w:pPr>
              <w:spacing w:before="120"/>
              <w:jc w:val="both"/>
            </w:pPr>
            <w:r>
              <w:t>8.</w:t>
            </w:r>
          </w:p>
        </w:tc>
        <w:tc>
          <w:tcPr>
            <w:tcW w:w="8329" w:type="dxa"/>
          </w:tcPr>
          <w:p w:rsidR="00B16467" w:rsidRPr="00FF5BB9" w:rsidRDefault="00B16467" w:rsidP="004A4248">
            <w:pPr>
              <w:spacing w:before="120"/>
              <w:jc w:val="both"/>
              <w:rPr>
                <w:b/>
                <w:bCs/>
              </w:rPr>
            </w:pPr>
            <w:r w:rsidRPr="00FF5BB9">
              <w:rPr>
                <w:b/>
                <w:bCs/>
              </w:rPr>
              <w:t>Rezervy</w:t>
            </w:r>
          </w:p>
          <w:p w:rsidR="00B16467" w:rsidRDefault="00B16467" w:rsidP="004A4248">
            <w:pPr>
              <w:pStyle w:val="Odstavecseseznamem"/>
              <w:numPr>
                <w:ilvl w:val="4"/>
                <w:numId w:val="1"/>
              </w:numPr>
              <w:spacing w:before="120"/>
              <w:ind w:left="459"/>
              <w:jc w:val="both"/>
            </w:pPr>
            <w:r>
              <w:t>rezervy podle Zákona o rezervách</w:t>
            </w:r>
          </w:p>
          <w:p w:rsidR="00B16467" w:rsidRDefault="00B16467" w:rsidP="004A4248">
            <w:pPr>
              <w:pStyle w:val="Odstavecseseznamem"/>
              <w:numPr>
                <w:ilvl w:val="4"/>
                <w:numId w:val="1"/>
              </w:numPr>
              <w:spacing w:before="120"/>
              <w:ind w:left="459"/>
              <w:jc w:val="both"/>
            </w:pPr>
            <w:r>
              <w:t>účetní rezervy</w:t>
            </w:r>
          </w:p>
          <w:p w:rsidR="00B16467" w:rsidRDefault="00B16467" w:rsidP="004A4248">
            <w:pPr>
              <w:pStyle w:val="Odstavecseseznamem"/>
              <w:numPr>
                <w:ilvl w:val="4"/>
                <w:numId w:val="1"/>
              </w:numPr>
              <w:spacing w:before="120"/>
              <w:ind w:left="459"/>
              <w:jc w:val="both"/>
            </w:pPr>
            <w:r>
              <w:t xml:space="preserve">požadavky na zveřejnění v příloze </w:t>
            </w:r>
          </w:p>
          <w:p w:rsidR="00B16467" w:rsidRDefault="00B16467" w:rsidP="004A4248">
            <w:pPr>
              <w:pStyle w:val="Odstavecseseznamem"/>
              <w:numPr>
                <w:ilvl w:val="4"/>
                <w:numId w:val="1"/>
              </w:numPr>
              <w:spacing w:before="120"/>
              <w:ind w:left="459"/>
              <w:jc w:val="both"/>
            </w:pPr>
            <w:r>
              <w:t>vykazování podle IAS 37 (včetně podmíněných aktiv a podmíněných závazků)</w:t>
            </w:r>
          </w:p>
        </w:tc>
      </w:tr>
      <w:tr w:rsidR="00B16467" w:rsidTr="004A4248">
        <w:tc>
          <w:tcPr>
            <w:tcW w:w="599" w:type="dxa"/>
          </w:tcPr>
          <w:p w:rsidR="00B16467" w:rsidRDefault="00B16467" w:rsidP="004A4248">
            <w:pPr>
              <w:spacing w:before="120"/>
              <w:jc w:val="both"/>
            </w:pPr>
            <w:r>
              <w:t>9.</w:t>
            </w:r>
          </w:p>
        </w:tc>
        <w:tc>
          <w:tcPr>
            <w:tcW w:w="8329" w:type="dxa"/>
          </w:tcPr>
          <w:p w:rsidR="00B16467" w:rsidRPr="00FF5BB9" w:rsidRDefault="00B16467" w:rsidP="004A4248">
            <w:pPr>
              <w:spacing w:before="120"/>
              <w:jc w:val="both"/>
              <w:rPr>
                <w:b/>
                <w:bCs/>
              </w:rPr>
            </w:pPr>
            <w:r w:rsidRPr="00FF5BB9">
              <w:rPr>
                <w:b/>
                <w:bCs/>
              </w:rPr>
              <w:t xml:space="preserve">Vlastní kapitál </w:t>
            </w:r>
          </w:p>
          <w:p w:rsidR="00B16467" w:rsidRDefault="00B16467" w:rsidP="004A4248">
            <w:pPr>
              <w:pStyle w:val="Odstavecseseznamem"/>
              <w:numPr>
                <w:ilvl w:val="4"/>
                <w:numId w:val="1"/>
              </w:numPr>
              <w:spacing w:before="120"/>
              <w:ind w:left="459"/>
              <w:jc w:val="both"/>
            </w:pPr>
            <w:r>
              <w:t>základní kapitál (minimální výše, zvyšování ZK, snižování ZK), vlastní akcie a vlastní podíly</w:t>
            </w:r>
          </w:p>
          <w:p w:rsidR="00B16467" w:rsidRDefault="00B16467" w:rsidP="004A4248">
            <w:pPr>
              <w:pStyle w:val="Odstavecseseznamem"/>
              <w:numPr>
                <w:ilvl w:val="4"/>
                <w:numId w:val="1"/>
              </w:numPr>
              <w:spacing w:before="120"/>
              <w:ind w:left="459"/>
              <w:jc w:val="both"/>
            </w:pPr>
            <w:r>
              <w:t>kapitálové fondy vs. fondy ze zisku</w:t>
            </w:r>
          </w:p>
          <w:p w:rsidR="00B16467" w:rsidRDefault="00B16467" w:rsidP="004A4248">
            <w:pPr>
              <w:pStyle w:val="Odstavecseseznamem"/>
              <w:numPr>
                <w:ilvl w:val="4"/>
                <w:numId w:val="1"/>
              </w:numPr>
              <w:spacing w:before="120"/>
              <w:ind w:left="459"/>
              <w:jc w:val="both"/>
            </w:pPr>
            <w:r>
              <w:t>využití jiného výsledku hospodaření minulých let</w:t>
            </w:r>
          </w:p>
          <w:p w:rsidR="00B16467" w:rsidRDefault="00B16467" w:rsidP="004A4248">
            <w:pPr>
              <w:pStyle w:val="Odstavecseseznamem"/>
              <w:numPr>
                <w:ilvl w:val="4"/>
                <w:numId w:val="1"/>
              </w:numPr>
              <w:spacing w:before="120"/>
              <w:ind w:left="459"/>
              <w:jc w:val="both"/>
            </w:pPr>
            <w:r>
              <w:t>rozdělování výsledku hospodaření (zisk/ztráta)</w:t>
            </w:r>
          </w:p>
          <w:p w:rsidR="00B16467" w:rsidRDefault="00B16467" w:rsidP="004A4248">
            <w:pPr>
              <w:pStyle w:val="Odstavecseseznamem"/>
              <w:numPr>
                <w:ilvl w:val="4"/>
                <w:numId w:val="1"/>
              </w:numPr>
              <w:spacing w:before="120"/>
              <w:ind w:left="459"/>
              <w:jc w:val="both"/>
            </w:pPr>
            <w:r>
              <w:t xml:space="preserve">zálohová výplata podílů na zisku </w:t>
            </w:r>
          </w:p>
          <w:p w:rsidR="00B16467" w:rsidRDefault="00B16467" w:rsidP="004A4248">
            <w:pPr>
              <w:pStyle w:val="Odstavecseseznamem"/>
              <w:numPr>
                <w:ilvl w:val="4"/>
                <w:numId w:val="1"/>
              </w:numPr>
              <w:spacing w:before="120"/>
              <w:ind w:left="459"/>
              <w:jc w:val="both"/>
            </w:pPr>
            <w:r>
              <w:t>požadavky na zveřejnění v příloze</w:t>
            </w:r>
          </w:p>
          <w:p w:rsidR="00B16467" w:rsidRDefault="00B16467" w:rsidP="004A4248">
            <w:pPr>
              <w:pStyle w:val="Odstavecseseznamem"/>
              <w:numPr>
                <w:ilvl w:val="4"/>
                <w:numId w:val="1"/>
              </w:numPr>
              <w:spacing w:before="120"/>
              <w:ind w:left="459"/>
              <w:jc w:val="both"/>
            </w:pPr>
            <w:r>
              <w:t>sestavení Přehledu o změnách vlastního kapitálu</w:t>
            </w:r>
          </w:p>
          <w:p w:rsidR="00B16467" w:rsidRDefault="00B16467" w:rsidP="004A4248">
            <w:pPr>
              <w:pStyle w:val="Odstavecseseznamem"/>
              <w:numPr>
                <w:ilvl w:val="4"/>
                <w:numId w:val="1"/>
              </w:numPr>
              <w:spacing w:before="120"/>
              <w:ind w:left="459"/>
              <w:jc w:val="both"/>
            </w:pPr>
            <w:r>
              <w:t xml:space="preserve">vazba Přehledu o změnách vlastního kapitálu na jiné účetní výkazy </w:t>
            </w:r>
          </w:p>
        </w:tc>
      </w:tr>
      <w:tr w:rsidR="00B16467" w:rsidTr="004A4248">
        <w:tc>
          <w:tcPr>
            <w:tcW w:w="599" w:type="dxa"/>
          </w:tcPr>
          <w:p w:rsidR="00B16467" w:rsidRDefault="00B16467" w:rsidP="004A4248">
            <w:pPr>
              <w:spacing w:before="120"/>
              <w:jc w:val="both"/>
            </w:pPr>
            <w:r>
              <w:t>10.</w:t>
            </w:r>
          </w:p>
        </w:tc>
        <w:tc>
          <w:tcPr>
            <w:tcW w:w="8329" w:type="dxa"/>
          </w:tcPr>
          <w:p w:rsidR="00B16467" w:rsidRPr="00FF5BB9" w:rsidRDefault="00B16467" w:rsidP="004A4248">
            <w:pPr>
              <w:spacing w:before="120"/>
              <w:jc w:val="both"/>
              <w:rPr>
                <w:b/>
                <w:bCs/>
              </w:rPr>
            </w:pPr>
            <w:r w:rsidRPr="00FF5BB9">
              <w:rPr>
                <w:b/>
                <w:bCs/>
              </w:rPr>
              <w:t>Náklady, výnosy a výsledek hospodaření</w:t>
            </w:r>
            <w:r>
              <w:rPr>
                <w:b/>
                <w:bCs/>
              </w:rPr>
              <w:t xml:space="preserve">. Cash </w:t>
            </w:r>
            <w:proofErr w:type="spellStart"/>
            <w:r>
              <w:rPr>
                <w:b/>
                <w:bCs/>
              </w:rPr>
              <w:t>flow</w:t>
            </w:r>
            <w:proofErr w:type="spellEnd"/>
            <w:r>
              <w:rPr>
                <w:b/>
                <w:bCs/>
              </w:rPr>
              <w:t xml:space="preserve"> </w:t>
            </w:r>
          </w:p>
          <w:p w:rsidR="00B16467" w:rsidRDefault="00B16467" w:rsidP="004A4248">
            <w:pPr>
              <w:pStyle w:val="Odstavecseseznamem"/>
              <w:numPr>
                <w:ilvl w:val="4"/>
                <w:numId w:val="1"/>
              </w:numPr>
              <w:spacing w:before="120"/>
              <w:ind w:left="459"/>
              <w:jc w:val="both"/>
            </w:pPr>
            <w:r>
              <w:t xml:space="preserve">účetní </w:t>
            </w:r>
            <w:proofErr w:type="spellStart"/>
            <w:r>
              <w:t>vs</w:t>
            </w:r>
            <w:proofErr w:type="spellEnd"/>
            <w:r>
              <w:t xml:space="preserve"> daňové náklady, účetní </w:t>
            </w:r>
            <w:proofErr w:type="spellStart"/>
            <w:r>
              <w:t>vs</w:t>
            </w:r>
            <w:proofErr w:type="spellEnd"/>
            <w:r>
              <w:t xml:space="preserve"> daňové výnosy </w:t>
            </w:r>
          </w:p>
          <w:p w:rsidR="00B16467" w:rsidRDefault="00B16467" w:rsidP="004A4248">
            <w:pPr>
              <w:pStyle w:val="Odstavecseseznamem"/>
              <w:numPr>
                <w:ilvl w:val="4"/>
                <w:numId w:val="1"/>
              </w:numPr>
              <w:spacing w:before="120"/>
              <w:ind w:left="459"/>
              <w:jc w:val="both"/>
            </w:pPr>
            <w:r>
              <w:lastRenderedPageBreak/>
              <w:t>členění výsledku hospodaření ve Výkazu zisku a ztráty</w:t>
            </w:r>
          </w:p>
          <w:p w:rsidR="00B16467" w:rsidRDefault="00B16467" w:rsidP="004A4248">
            <w:pPr>
              <w:pStyle w:val="Odstavecseseznamem"/>
              <w:numPr>
                <w:ilvl w:val="4"/>
                <w:numId w:val="1"/>
              </w:numPr>
              <w:spacing w:before="120"/>
              <w:ind w:left="459"/>
              <w:jc w:val="both"/>
            </w:pPr>
            <w:r>
              <w:t xml:space="preserve">druhové </w:t>
            </w:r>
            <w:proofErr w:type="spellStart"/>
            <w:r>
              <w:t>vs</w:t>
            </w:r>
            <w:proofErr w:type="spellEnd"/>
            <w:r>
              <w:t xml:space="preserve"> účelové členění provozních nákladů</w:t>
            </w:r>
          </w:p>
          <w:p w:rsidR="00B16467" w:rsidRDefault="00B16467" w:rsidP="004A4248">
            <w:pPr>
              <w:pStyle w:val="Odstavecseseznamem"/>
              <w:numPr>
                <w:ilvl w:val="4"/>
                <w:numId w:val="1"/>
              </w:numPr>
              <w:spacing w:before="120"/>
              <w:ind w:left="459"/>
              <w:jc w:val="both"/>
            </w:pPr>
            <w:r>
              <w:t xml:space="preserve">obchodní </w:t>
            </w:r>
            <w:proofErr w:type="spellStart"/>
            <w:r>
              <w:t>vs</w:t>
            </w:r>
            <w:proofErr w:type="spellEnd"/>
            <w:r>
              <w:t xml:space="preserve"> hrubá marže </w:t>
            </w:r>
          </w:p>
          <w:p w:rsidR="00B16467" w:rsidRDefault="00B16467" w:rsidP="004A4248">
            <w:pPr>
              <w:pStyle w:val="Odstavecseseznamem"/>
              <w:numPr>
                <w:ilvl w:val="4"/>
                <w:numId w:val="1"/>
              </w:numPr>
              <w:spacing w:before="120"/>
              <w:ind w:left="459"/>
              <w:jc w:val="both"/>
            </w:pPr>
            <w:r>
              <w:t xml:space="preserve">kategorie zisku ve finančním řízení (EAT, EBT, EBIT, EBITDA, EBITDAR, NOPAT) </w:t>
            </w:r>
          </w:p>
          <w:p w:rsidR="00B16467" w:rsidRDefault="00B16467" w:rsidP="004A4248">
            <w:pPr>
              <w:pStyle w:val="Odstavecseseznamem"/>
              <w:numPr>
                <w:ilvl w:val="4"/>
                <w:numId w:val="1"/>
              </w:numPr>
              <w:spacing w:before="120"/>
              <w:ind w:left="459"/>
              <w:jc w:val="both"/>
            </w:pPr>
            <w:r>
              <w:t>uznání výnosů podle IFRS 15</w:t>
            </w:r>
          </w:p>
          <w:p w:rsidR="00B16467" w:rsidRDefault="00B16467" w:rsidP="004A4248">
            <w:pPr>
              <w:pStyle w:val="Odstavecseseznamem"/>
              <w:numPr>
                <w:ilvl w:val="4"/>
                <w:numId w:val="1"/>
              </w:numPr>
              <w:spacing w:before="120"/>
              <w:ind w:left="459"/>
              <w:jc w:val="both"/>
            </w:pPr>
            <w:r>
              <w:t xml:space="preserve">akruální </w:t>
            </w:r>
            <w:proofErr w:type="spellStart"/>
            <w:r>
              <w:t>vs</w:t>
            </w:r>
            <w:proofErr w:type="spellEnd"/>
            <w:r>
              <w:t xml:space="preserve"> peněžní báze</w:t>
            </w:r>
          </w:p>
          <w:p w:rsidR="00B16467" w:rsidRDefault="00B16467" w:rsidP="004A4248">
            <w:pPr>
              <w:pStyle w:val="Odstavecseseznamem"/>
              <w:numPr>
                <w:ilvl w:val="4"/>
                <w:numId w:val="1"/>
              </w:numPr>
              <w:spacing w:before="120"/>
              <w:ind w:left="459"/>
              <w:jc w:val="both"/>
            </w:pPr>
            <w:r>
              <w:t>identifikace peněžních toků</w:t>
            </w:r>
          </w:p>
          <w:p w:rsidR="00B16467" w:rsidRDefault="00B16467" w:rsidP="004A4248">
            <w:pPr>
              <w:pStyle w:val="Odstavecseseznamem"/>
              <w:numPr>
                <w:ilvl w:val="4"/>
                <w:numId w:val="1"/>
              </w:numPr>
              <w:spacing w:before="120"/>
              <w:ind w:left="459"/>
              <w:jc w:val="both"/>
            </w:pPr>
            <w:r>
              <w:t>členění činností v rámci Přehledu o peněžních tocích</w:t>
            </w:r>
          </w:p>
          <w:p w:rsidR="00B16467" w:rsidRDefault="00B16467" w:rsidP="004A4248">
            <w:pPr>
              <w:pStyle w:val="Odstavecseseznamem"/>
              <w:numPr>
                <w:ilvl w:val="4"/>
                <w:numId w:val="1"/>
              </w:numPr>
              <w:spacing w:before="120"/>
              <w:ind w:left="459"/>
              <w:jc w:val="both"/>
            </w:pPr>
            <w:r>
              <w:t>vazba Přehledu o peněžních tocích na jiné účetní výkazy přímá a nepřímá metoda sestavení Přehledu o peněžních tocích</w:t>
            </w:r>
          </w:p>
          <w:p w:rsidR="00B16467" w:rsidRDefault="00B16467" w:rsidP="004A4248">
            <w:pPr>
              <w:pStyle w:val="Odstavecseseznamem"/>
              <w:numPr>
                <w:ilvl w:val="4"/>
                <w:numId w:val="1"/>
              </w:numPr>
              <w:spacing w:before="120"/>
              <w:ind w:left="459"/>
              <w:jc w:val="both"/>
            </w:pPr>
            <w:r>
              <w:t>požadavky na zveřejnění v příloze</w:t>
            </w:r>
          </w:p>
        </w:tc>
      </w:tr>
      <w:tr w:rsidR="00B16467" w:rsidTr="004A4248">
        <w:tc>
          <w:tcPr>
            <w:tcW w:w="599" w:type="dxa"/>
          </w:tcPr>
          <w:p w:rsidR="00B16467" w:rsidRDefault="00B16467" w:rsidP="004A4248">
            <w:pPr>
              <w:spacing w:before="120"/>
              <w:jc w:val="both"/>
            </w:pPr>
            <w:r>
              <w:lastRenderedPageBreak/>
              <w:t>11.</w:t>
            </w:r>
          </w:p>
        </w:tc>
        <w:tc>
          <w:tcPr>
            <w:tcW w:w="8329" w:type="dxa"/>
          </w:tcPr>
          <w:p w:rsidR="00B16467" w:rsidRPr="00FF5BB9" w:rsidRDefault="00B16467" w:rsidP="004A4248">
            <w:pPr>
              <w:spacing w:before="120"/>
              <w:jc w:val="both"/>
              <w:rPr>
                <w:b/>
                <w:bCs/>
              </w:rPr>
            </w:pPr>
            <w:r w:rsidRPr="00FF5BB9">
              <w:rPr>
                <w:b/>
                <w:bCs/>
              </w:rPr>
              <w:t xml:space="preserve">Uzávěrkové operace </w:t>
            </w:r>
          </w:p>
          <w:p w:rsidR="00B16467" w:rsidRDefault="00B16467" w:rsidP="004A4248">
            <w:pPr>
              <w:pStyle w:val="Odstavecseseznamem"/>
              <w:numPr>
                <w:ilvl w:val="4"/>
                <w:numId w:val="1"/>
              </w:numPr>
              <w:spacing w:before="120"/>
              <w:ind w:left="459"/>
              <w:jc w:val="both"/>
            </w:pPr>
            <w:r>
              <w:t>inventarizace majetku a závazků</w:t>
            </w:r>
          </w:p>
          <w:p w:rsidR="00B16467" w:rsidRDefault="00B16467" w:rsidP="004A4248">
            <w:pPr>
              <w:pStyle w:val="Odstavecseseznamem"/>
              <w:numPr>
                <w:ilvl w:val="4"/>
                <w:numId w:val="1"/>
              </w:numPr>
              <w:spacing w:before="120"/>
              <w:ind w:left="459"/>
              <w:jc w:val="both"/>
            </w:pPr>
            <w:r>
              <w:t xml:space="preserve">uzávěrkové operace </w:t>
            </w:r>
          </w:p>
          <w:p w:rsidR="00B16467" w:rsidRDefault="00B16467" w:rsidP="004A4248">
            <w:pPr>
              <w:pStyle w:val="Odstavecseseznamem"/>
              <w:numPr>
                <w:ilvl w:val="4"/>
                <w:numId w:val="1"/>
              </w:numPr>
              <w:spacing w:before="120"/>
              <w:ind w:left="459"/>
              <w:jc w:val="both"/>
            </w:pPr>
            <w:r>
              <w:t>stanovení splatné daně</w:t>
            </w:r>
          </w:p>
          <w:p w:rsidR="00B16467" w:rsidRDefault="00B16467" w:rsidP="004A4248">
            <w:pPr>
              <w:pStyle w:val="Odstavecseseznamem"/>
              <w:numPr>
                <w:ilvl w:val="4"/>
                <w:numId w:val="1"/>
              </w:numPr>
              <w:spacing w:before="120"/>
              <w:ind w:left="459"/>
              <w:jc w:val="both"/>
            </w:pPr>
            <w:r>
              <w:t xml:space="preserve">odložená daň </w:t>
            </w:r>
          </w:p>
          <w:p w:rsidR="00B16467" w:rsidRDefault="00B16467" w:rsidP="004A4248">
            <w:pPr>
              <w:pStyle w:val="Odstavecseseznamem"/>
              <w:numPr>
                <w:ilvl w:val="4"/>
                <w:numId w:val="1"/>
              </w:numPr>
              <w:spacing w:before="120"/>
              <w:ind w:left="459"/>
              <w:jc w:val="both"/>
            </w:pPr>
            <w:r>
              <w:t xml:space="preserve">požadavky na zveřejnění v příloze </w:t>
            </w:r>
          </w:p>
        </w:tc>
      </w:tr>
      <w:tr w:rsidR="00B16467" w:rsidTr="004A4248">
        <w:tc>
          <w:tcPr>
            <w:tcW w:w="599" w:type="dxa"/>
          </w:tcPr>
          <w:p w:rsidR="00B16467" w:rsidRDefault="00B16467" w:rsidP="004A4248">
            <w:pPr>
              <w:spacing w:before="120"/>
              <w:jc w:val="both"/>
            </w:pPr>
            <w:r>
              <w:t>12.</w:t>
            </w:r>
          </w:p>
        </w:tc>
        <w:tc>
          <w:tcPr>
            <w:tcW w:w="8329" w:type="dxa"/>
          </w:tcPr>
          <w:p w:rsidR="00B16467" w:rsidRPr="00FF5BB9" w:rsidRDefault="00B16467" w:rsidP="004A4248">
            <w:pPr>
              <w:spacing w:before="120"/>
              <w:jc w:val="both"/>
              <w:rPr>
                <w:b/>
                <w:bCs/>
              </w:rPr>
            </w:pPr>
            <w:r w:rsidRPr="00FF5BB9">
              <w:rPr>
                <w:b/>
                <w:bCs/>
              </w:rPr>
              <w:t>Účetní závěrka a následné povinnosti</w:t>
            </w:r>
          </w:p>
          <w:p w:rsidR="00B16467" w:rsidRDefault="00B16467" w:rsidP="004A4248">
            <w:pPr>
              <w:pStyle w:val="Odstavecseseznamem"/>
              <w:numPr>
                <w:ilvl w:val="4"/>
                <w:numId w:val="1"/>
              </w:numPr>
              <w:spacing w:before="120"/>
              <w:ind w:left="459"/>
              <w:jc w:val="both"/>
            </w:pPr>
            <w:r>
              <w:t xml:space="preserve">účetní závěrka podle českých účetních pravidel v závislosti na kategorii účetní jednotky (sestavení </w:t>
            </w:r>
            <w:proofErr w:type="spellStart"/>
            <w:r>
              <w:t>vs</w:t>
            </w:r>
            <w:proofErr w:type="spellEnd"/>
            <w:r>
              <w:t xml:space="preserve"> zveřejnění). Vztahy mezi výkazy</w:t>
            </w:r>
          </w:p>
          <w:p w:rsidR="00B16467" w:rsidRDefault="00B16467" w:rsidP="004A4248">
            <w:pPr>
              <w:pStyle w:val="Odstavecseseznamem"/>
              <w:numPr>
                <w:ilvl w:val="4"/>
                <w:numId w:val="1"/>
              </w:numPr>
              <w:spacing w:before="120"/>
              <w:ind w:left="459"/>
              <w:jc w:val="both"/>
            </w:pPr>
            <w:r>
              <w:t>struktura přílohy v závislosti na kategorii účetní jednotky</w:t>
            </w:r>
          </w:p>
          <w:p w:rsidR="00B16467" w:rsidRDefault="00B16467" w:rsidP="004A4248">
            <w:pPr>
              <w:pStyle w:val="Odstavecseseznamem"/>
              <w:numPr>
                <w:ilvl w:val="4"/>
                <w:numId w:val="1"/>
              </w:numPr>
              <w:spacing w:before="120"/>
              <w:ind w:left="459"/>
              <w:jc w:val="both"/>
            </w:pPr>
            <w:r>
              <w:t>účetní závěrka podle IAS 1 a IAS 7</w:t>
            </w:r>
          </w:p>
          <w:p w:rsidR="00B16467" w:rsidRDefault="00B16467" w:rsidP="004A4248">
            <w:pPr>
              <w:pStyle w:val="Odstavecseseznamem"/>
              <w:numPr>
                <w:ilvl w:val="4"/>
                <w:numId w:val="1"/>
              </w:numPr>
              <w:spacing w:before="120"/>
              <w:ind w:left="459"/>
              <w:jc w:val="both"/>
            </w:pPr>
            <w:r>
              <w:t>události po rozvahovém dni podle IAS 10</w:t>
            </w:r>
          </w:p>
          <w:p w:rsidR="00B16467" w:rsidRDefault="00B16467" w:rsidP="004A4248">
            <w:pPr>
              <w:pStyle w:val="Odstavecseseznamem"/>
              <w:numPr>
                <w:ilvl w:val="4"/>
                <w:numId w:val="1"/>
              </w:numPr>
              <w:spacing w:before="120"/>
              <w:ind w:left="459"/>
              <w:jc w:val="both"/>
            </w:pPr>
            <w:r>
              <w:t>segmentace tržeb podle IFRS 8</w:t>
            </w:r>
          </w:p>
          <w:p w:rsidR="00B16467" w:rsidRDefault="00B16467" w:rsidP="004A4248">
            <w:pPr>
              <w:pStyle w:val="Odstavecseseznamem"/>
              <w:numPr>
                <w:ilvl w:val="4"/>
                <w:numId w:val="1"/>
              </w:numPr>
              <w:spacing w:before="120"/>
              <w:ind w:left="459"/>
              <w:jc w:val="both"/>
            </w:pPr>
            <w:r>
              <w:t>výroční zpráva</w:t>
            </w:r>
          </w:p>
          <w:p w:rsidR="00B16467" w:rsidRDefault="00B16467" w:rsidP="004A4248">
            <w:pPr>
              <w:pStyle w:val="Odstavecseseznamem"/>
              <w:numPr>
                <w:ilvl w:val="4"/>
                <w:numId w:val="1"/>
              </w:numPr>
              <w:spacing w:before="120"/>
              <w:ind w:left="459"/>
              <w:jc w:val="both"/>
            </w:pPr>
            <w:r>
              <w:t xml:space="preserve">zpráva o nefinančních informacích </w:t>
            </w:r>
          </w:p>
          <w:p w:rsidR="00B16467" w:rsidRDefault="00B16467" w:rsidP="004A4248">
            <w:pPr>
              <w:pStyle w:val="Odstavecseseznamem"/>
              <w:numPr>
                <w:ilvl w:val="4"/>
                <w:numId w:val="1"/>
              </w:numPr>
              <w:spacing w:before="120"/>
              <w:ind w:left="459"/>
              <w:jc w:val="both"/>
            </w:pPr>
            <w:r>
              <w:t>kritéria pro audit účetní závěrky</w:t>
            </w:r>
          </w:p>
          <w:p w:rsidR="00B16467" w:rsidRDefault="00B16467" w:rsidP="004A4248">
            <w:pPr>
              <w:pStyle w:val="Odstavecseseznamem"/>
              <w:numPr>
                <w:ilvl w:val="4"/>
                <w:numId w:val="1"/>
              </w:numPr>
              <w:spacing w:before="120"/>
              <w:ind w:left="459"/>
              <w:jc w:val="both"/>
            </w:pPr>
            <w:r>
              <w:t xml:space="preserve">mimořádná </w:t>
            </w:r>
            <w:proofErr w:type="spellStart"/>
            <w:r>
              <w:t>vs</w:t>
            </w:r>
            <w:proofErr w:type="spellEnd"/>
            <w:r>
              <w:t xml:space="preserve"> mezitímní účetní závěrka</w:t>
            </w:r>
          </w:p>
        </w:tc>
      </w:tr>
    </w:tbl>
    <w:p w:rsidR="00B16467" w:rsidRPr="00CF47B2" w:rsidRDefault="00B16467" w:rsidP="00B16467">
      <w:pPr>
        <w:spacing w:before="120"/>
        <w:ind w:left="360"/>
        <w:jc w:val="both"/>
      </w:pPr>
    </w:p>
    <w:p w:rsidR="00B16467" w:rsidRDefault="00B16467" w:rsidP="00B16467">
      <w:pPr>
        <w:pStyle w:val="Nadpis3"/>
      </w:pPr>
      <w:bookmarkStart w:id="28" w:name="_Toc418595880"/>
      <w:bookmarkStart w:id="29" w:name="_Toc485715344"/>
      <w:r w:rsidRPr="00CF47B2">
        <w:t>Literatura</w:t>
      </w:r>
      <w:bookmarkEnd w:id="22"/>
      <w:bookmarkEnd w:id="23"/>
      <w:bookmarkEnd w:id="24"/>
      <w:bookmarkEnd w:id="25"/>
      <w:bookmarkEnd w:id="26"/>
      <w:bookmarkEnd w:id="27"/>
      <w:bookmarkEnd w:id="28"/>
      <w:bookmarkEnd w:id="29"/>
      <w:r w:rsidRPr="00CF47B2">
        <w:t xml:space="preserve"> </w:t>
      </w:r>
    </w:p>
    <w:p w:rsidR="00B16467" w:rsidRPr="00D22382" w:rsidRDefault="00B16467" w:rsidP="00B16467">
      <w:pPr>
        <w:pStyle w:val="Nadpis4"/>
        <w:numPr>
          <w:ilvl w:val="3"/>
          <w:numId w:val="4"/>
        </w:numPr>
      </w:pPr>
      <w:bookmarkStart w:id="30" w:name="_Toc481659122"/>
      <w:r w:rsidRPr="005741E5">
        <w:t>Povinná:</w:t>
      </w:r>
      <w:bookmarkEnd w:id="30"/>
    </w:p>
    <w:p w:rsidR="00B16467" w:rsidRDefault="00B16467" w:rsidP="00B16467">
      <w:pPr>
        <w:numPr>
          <w:ilvl w:val="0"/>
          <w:numId w:val="6"/>
        </w:numPr>
        <w:spacing w:before="120"/>
        <w:ind w:left="850" w:hanging="493"/>
      </w:pPr>
      <w:r>
        <w:t xml:space="preserve">Kolektiv autorů (2020). MERITUM – Účetnictví podnikatelů 2020. Praha: </w:t>
      </w:r>
      <w:proofErr w:type="spellStart"/>
      <w:r>
        <w:t>Wolters</w:t>
      </w:r>
      <w:proofErr w:type="spellEnd"/>
      <w:r>
        <w:t xml:space="preserve"> </w:t>
      </w:r>
      <w:proofErr w:type="spellStart"/>
      <w:r>
        <w:t>Kluwer</w:t>
      </w:r>
      <w:proofErr w:type="spellEnd"/>
      <w:r>
        <w:t xml:space="preserve">. </w:t>
      </w:r>
    </w:p>
    <w:p w:rsidR="00B16467" w:rsidRDefault="00B16467" w:rsidP="00B16467">
      <w:pPr>
        <w:numPr>
          <w:ilvl w:val="0"/>
          <w:numId w:val="6"/>
        </w:numPr>
        <w:spacing w:before="120"/>
        <w:ind w:left="850" w:hanging="493"/>
      </w:pPr>
      <w:r>
        <w:lastRenderedPageBreak/>
        <w:t xml:space="preserve">Strouhal, J. (2020). </w:t>
      </w:r>
      <w:r w:rsidRPr="00FF5BB9">
        <w:rPr>
          <w:i/>
          <w:iCs/>
        </w:rPr>
        <w:t>Účetní souvztažnosti podnikatelských subjektů. 3. aktualizované vydání</w:t>
      </w:r>
      <w:r>
        <w:t xml:space="preserve">. Praha: </w:t>
      </w:r>
      <w:proofErr w:type="spellStart"/>
      <w:r>
        <w:t>Wolters</w:t>
      </w:r>
      <w:proofErr w:type="spellEnd"/>
      <w:r>
        <w:t xml:space="preserve"> </w:t>
      </w:r>
      <w:proofErr w:type="spellStart"/>
      <w:r>
        <w:t>Kluwer</w:t>
      </w:r>
      <w:proofErr w:type="spellEnd"/>
      <w:r>
        <w:t xml:space="preserve">. </w:t>
      </w:r>
    </w:p>
    <w:p w:rsidR="00B16467" w:rsidRDefault="00B16467" w:rsidP="00B16467">
      <w:pPr>
        <w:numPr>
          <w:ilvl w:val="0"/>
          <w:numId w:val="6"/>
        </w:numPr>
        <w:spacing w:before="120"/>
        <w:ind w:left="850" w:hanging="493"/>
      </w:pPr>
      <w:r>
        <w:t xml:space="preserve">Krupová, L. (2019). </w:t>
      </w:r>
      <w:r w:rsidRPr="00FF5BB9">
        <w:rPr>
          <w:i/>
          <w:iCs/>
        </w:rPr>
        <w:t>IFRS – Interpretace a aplikace v podnikové praxi</w:t>
      </w:r>
      <w:r>
        <w:t xml:space="preserve">. Praha: 1. VOX. </w:t>
      </w:r>
    </w:p>
    <w:p w:rsidR="00B16467" w:rsidRDefault="00B16467" w:rsidP="00B16467">
      <w:pPr>
        <w:numPr>
          <w:ilvl w:val="0"/>
          <w:numId w:val="6"/>
        </w:numPr>
        <w:spacing w:before="120"/>
        <w:ind w:left="850" w:hanging="493"/>
      </w:pPr>
      <w:r>
        <w:t xml:space="preserve">aktuality z časopisu </w:t>
      </w:r>
      <w:r w:rsidRPr="00FF5BB9">
        <w:rPr>
          <w:i/>
          <w:iCs/>
        </w:rPr>
        <w:t>AUDITOR</w:t>
      </w:r>
    </w:p>
    <w:p w:rsidR="00B16467" w:rsidRDefault="00B16467" w:rsidP="00B16467">
      <w:pPr>
        <w:numPr>
          <w:ilvl w:val="0"/>
          <w:numId w:val="8"/>
        </w:numPr>
        <w:spacing w:before="120"/>
      </w:pPr>
      <w:r>
        <w:t xml:space="preserve">Dvořáková, D. (2017). </w:t>
      </w:r>
      <w:r w:rsidRPr="001C1679">
        <w:rPr>
          <w:i/>
          <w:iCs/>
        </w:rPr>
        <w:t>Finanční účetnictví a výkaznictví podle mezinárodních standardů IFRS. 5. aktualizované vydání</w:t>
      </w:r>
      <w:r>
        <w:t xml:space="preserve">. Brno: </w:t>
      </w:r>
      <w:proofErr w:type="spellStart"/>
      <w:r>
        <w:t>BizBooks</w:t>
      </w:r>
      <w:proofErr w:type="spellEnd"/>
      <w:r>
        <w:t xml:space="preserve">. </w:t>
      </w:r>
    </w:p>
    <w:p w:rsidR="00B16467" w:rsidRDefault="00B16467" w:rsidP="00B16467">
      <w:pPr>
        <w:numPr>
          <w:ilvl w:val="0"/>
          <w:numId w:val="8"/>
        </w:numPr>
        <w:spacing w:before="120"/>
      </w:pPr>
      <w:r>
        <w:t xml:space="preserve">Strouhal, J. a kol. (2016). </w:t>
      </w:r>
      <w:r w:rsidRPr="001C1679">
        <w:rPr>
          <w:i/>
          <w:iCs/>
        </w:rPr>
        <w:t>Zveřejňování obchodních korporací</w:t>
      </w:r>
      <w:r>
        <w:t xml:space="preserve">. Praha: </w:t>
      </w:r>
      <w:proofErr w:type="spellStart"/>
      <w:r>
        <w:t>Wolters</w:t>
      </w:r>
      <w:proofErr w:type="spellEnd"/>
      <w:r>
        <w:t xml:space="preserve"> </w:t>
      </w:r>
      <w:proofErr w:type="spellStart"/>
      <w:r>
        <w:t>Kluwer</w:t>
      </w:r>
      <w:proofErr w:type="spellEnd"/>
      <w:r>
        <w:t xml:space="preserve">. </w:t>
      </w:r>
    </w:p>
    <w:p w:rsidR="00B16467" w:rsidRPr="00CF47B2" w:rsidRDefault="00B16467" w:rsidP="00B16467">
      <w:pPr>
        <w:ind w:left="851"/>
      </w:pPr>
    </w:p>
    <w:p w:rsidR="00B16467" w:rsidRPr="00F91BBA" w:rsidRDefault="00B16467" w:rsidP="00B16467">
      <w:pPr>
        <w:pStyle w:val="Nadpis4"/>
        <w:numPr>
          <w:ilvl w:val="3"/>
          <w:numId w:val="4"/>
        </w:numPr>
      </w:pPr>
      <w:bookmarkStart w:id="31" w:name="_Toc58751811"/>
      <w:bookmarkStart w:id="32" w:name="_Toc126057433"/>
      <w:bookmarkStart w:id="33" w:name="_Toc126057583"/>
      <w:r w:rsidRPr="00F91BBA">
        <w:t>Předpisy podrobná znalost</w:t>
      </w:r>
      <w:bookmarkEnd w:id="31"/>
      <w:bookmarkEnd w:id="32"/>
      <w:bookmarkEnd w:id="33"/>
      <w:r w:rsidRPr="00F91BBA">
        <w:t xml:space="preserve"> </w:t>
      </w:r>
    </w:p>
    <w:p w:rsidR="00B16467" w:rsidRPr="00CF47B2" w:rsidRDefault="00B16467" w:rsidP="00B16467">
      <w:pPr>
        <w:numPr>
          <w:ilvl w:val="0"/>
          <w:numId w:val="7"/>
        </w:numPr>
      </w:pPr>
      <w:r w:rsidRPr="00CF47B2">
        <w:t xml:space="preserve">Zákon </w:t>
      </w:r>
      <w:r>
        <w:t>č. 563/1991 Sb., o účetn</w:t>
      </w:r>
      <w:r w:rsidRPr="00CF47B2">
        <w:t xml:space="preserve">ictví </w:t>
      </w:r>
    </w:p>
    <w:p w:rsidR="00B16467" w:rsidRPr="00CF47B2" w:rsidRDefault="00B16467" w:rsidP="00B16467">
      <w:pPr>
        <w:numPr>
          <w:ilvl w:val="0"/>
          <w:numId w:val="7"/>
        </w:numPr>
      </w:pPr>
      <w:r w:rsidRPr="00CF47B2">
        <w:t xml:space="preserve">Zákon </w:t>
      </w:r>
      <w:r>
        <w:t xml:space="preserve">č. 93/2009 Sb., </w:t>
      </w:r>
      <w:r w:rsidRPr="00CF47B2">
        <w:t>o auditorech</w:t>
      </w:r>
    </w:p>
    <w:p w:rsidR="00B16467" w:rsidRPr="00CF47B2" w:rsidRDefault="00B16467" w:rsidP="00B16467">
      <w:pPr>
        <w:numPr>
          <w:ilvl w:val="0"/>
          <w:numId w:val="7"/>
        </w:numPr>
      </w:pPr>
      <w:r w:rsidRPr="00CF47B2">
        <w:t>Profesní předpisy Komory auditorů ČR</w:t>
      </w:r>
    </w:p>
    <w:p w:rsidR="00B16467" w:rsidRDefault="00B16467" w:rsidP="00B16467">
      <w:pPr>
        <w:numPr>
          <w:ilvl w:val="0"/>
          <w:numId w:val="7"/>
        </w:numPr>
      </w:pPr>
      <w:r>
        <w:t>V</w:t>
      </w:r>
      <w:r w:rsidRPr="00CF47B2">
        <w:t>yhlášk</w:t>
      </w:r>
      <w:r>
        <w:t xml:space="preserve">a č. 500/2002 Sb., </w:t>
      </w:r>
    </w:p>
    <w:p w:rsidR="00B16467" w:rsidRPr="00CF47B2" w:rsidRDefault="00B16467" w:rsidP="00B16467">
      <w:pPr>
        <w:numPr>
          <w:ilvl w:val="0"/>
          <w:numId w:val="7"/>
        </w:numPr>
      </w:pPr>
      <w:r w:rsidRPr="00CF47B2">
        <w:t>České účetní standardy</w:t>
      </w:r>
      <w:r>
        <w:t xml:space="preserve"> pro podnikatele</w:t>
      </w:r>
    </w:p>
    <w:p w:rsidR="00B16467" w:rsidRPr="00CF47B2" w:rsidRDefault="00B16467" w:rsidP="00B16467">
      <w:pPr>
        <w:numPr>
          <w:ilvl w:val="0"/>
          <w:numId w:val="7"/>
        </w:numPr>
      </w:pPr>
      <w:r w:rsidRPr="00CF47B2">
        <w:t>Mezinárodní standardy účetního výkaznictví</w:t>
      </w:r>
      <w:r>
        <w:t xml:space="preserve"> IFRS (Koncepční rámec a standardy indikované v sylabu)</w:t>
      </w:r>
    </w:p>
    <w:p w:rsidR="00B16467" w:rsidRPr="00CF47B2" w:rsidRDefault="00B16467" w:rsidP="00B16467">
      <w:pPr>
        <w:pStyle w:val="Nadpis4"/>
        <w:numPr>
          <w:ilvl w:val="3"/>
          <w:numId w:val="4"/>
        </w:numPr>
      </w:pPr>
      <w:bookmarkStart w:id="34" w:name="_Toc58751812"/>
      <w:bookmarkStart w:id="35" w:name="_Toc126057434"/>
      <w:bookmarkStart w:id="36" w:name="_Toc126057584"/>
      <w:r>
        <w:t>Předpisy o</w:t>
      </w:r>
      <w:r w:rsidRPr="00CF47B2">
        <w:t>becná znalost</w:t>
      </w:r>
      <w:bookmarkEnd w:id="34"/>
      <w:bookmarkEnd w:id="35"/>
      <w:bookmarkEnd w:id="36"/>
      <w:r w:rsidRPr="00CF47B2">
        <w:t xml:space="preserve"> </w:t>
      </w:r>
    </w:p>
    <w:p w:rsidR="00B16467" w:rsidRDefault="00B16467" w:rsidP="00B16467">
      <w:pPr>
        <w:numPr>
          <w:ilvl w:val="0"/>
          <w:numId w:val="5"/>
        </w:numPr>
      </w:pPr>
      <w:r>
        <w:t>Zákon č. 90/2012 Sb., o obchodních korporacích</w:t>
      </w:r>
    </w:p>
    <w:p w:rsidR="00B16467" w:rsidRDefault="00B16467" w:rsidP="00B16467">
      <w:pPr>
        <w:numPr>
          <w:ilvl w:val="0"/>
          <w:numId w:val="5"/>
        </w:numPr>
      </w:pPr>
      <w:r>
        <w:t xml:space="preserve">Zákon č.  586/2012 Sb., o daních z příjmů </w:t>
      </w:r>
    </w:p>
    <w:p w:rsidR="00B16467" w:rsidRDefault="00B16467" w:rsidP="00B16467">
      <w:pPr>
        <w:numPr>
          <w:ilvl w:val="0"/>
          <w:numId w:val="5"/>
        </w:numPr>
      </w:pPr>
      <w:r>
        <w:t>Zákon č. 593/1992 Sb., o rezervách pro zjištění základu daně z příjmů</w:t>
      </w:r>
    </w:p>
    <w:p w:rsidR="00B16467" w:rsidRDefault="00B16467" w:rsidP="00B16467">
      <w:pPr>
        <w:numPr>
          <w:ilvl w:val="0"/>
          <w:numId w:val="5"/>
        </w:numPr>
      </w:pPr>
      <w:r>
        <w:t>Zákon č. 235/2004 Sb., o dani z přidané hodnoty</w:t>
      </w:r>
    </w:p>
    <w:p w:rsidR="00B16467" w:rsidRDefault="00B16467" w:rsidP="00B16467">
      <w:pPr>
        <w:numPr>
          <w:ilvl w:val="0"/>
          <w:numId w:val="5"/>
        </w:numPr>
      </w:pPr>
      <w:r>
        <w:t>Zákon č. 262/2006 Sb., zákoník práce</w:t>
      </w:r>
    </w:p>
    <w:p w:rsidR="00B16467" w:rsidRDefault="00B16467" w:rsidP="00B16467">
      <w:pPr>
        <w:ind w:left="851"/>
      </w:pPr>
    </w:p>
    <w:p w:rsidR="00B16467" w:rsidRPr="00CF47B2" w:rsidRDefault="00B16467" w:rsidP="00B16467">
      <w:pPr>
        <w:pStyle w:val="Nadpis3"/>
        <w:spacing w:before="120"/>
      </w:pPr>
      <w:bookmarkStart w:id="37" w:name="_Toc58751813"/>
      <w:bookmarkStart w:id="38" w:name="_Toc126057036"/>
      <w:bookmarkStart w:id="39" w:name="_Toc126057435"/>
      <w:bookmarkStart w:id="40" w:name="_Toc126057585"/>
      <w:bookmarkStart w:id="41" w:name="_Toc132785694"/>
      <w:bookmarkStart w:id="42" w:name="_Toc254863242"/>
      <w:bookmarkStart w:id="43" w:name="_Toc418595882"/>
      <w:bookmarkStart w:id="44" w:name="_Toc485715345"/>
      <w:r w:rsidRPr="00CF47B2">
        <w:t>Pomůcky u zkoušky</w:t>
      </w:r>
      <w:bookmarkEnd w:id="37"/>
      <w:bookmarkEnd w:id="38"/>
      <w:bookmarkEnd w:id="39"/>
      <w:bookmarkEnd w:id="40"/>
      <w:bookmarkEnd w:id="41"/>
      <w:bookmarkEnd w:id="42"/>
      <w:bookmarkEnd w:id="43"/>
      <w:bookmarkEnd w:id="44"/>
    </w:p>
    <w:p w:rsidR="00B16467" w:rsidRPr="00CF47B2" w:rsidRDefault="00B16467" w:rsidP="00B16467">
      <w:pPr>
        <w:pStyle w:val="Zkladntextodsazen"/>
        <w:numPr>
          <w:ilvl w:val="0"/>
          <w:numId w:val="2"/>
        </w:numPr>
      </w:pPr>
      <w:bookmarkStart w:id="45" w:name="_Toc58751814"/>
      <w:bookmarkStart w:id="46" w:name="_Toc126057037"/>
      <w:bookmarkStart w:id="47" w:name="_Toc126057436"/>
      <w:bookmarkStart w:id="48" w:name="_Toc126057586"/>
      <w:bookmarkStart w:id="49" w:name="_Toc132785695"/>
      <w:bookmarkStart w:id="50" w:name="_Toc254863243"/>
      <w:r w:rsidRPr="00CF47B2">
        <w:t xml:space="preserve">Kalkulačka </w:t>
      </w:r>
    </w:p>
    <w:p w:rsidR="00B16467" w:rsidRDefault="00B16467" w:rsidP="00B16467">
      <w:pPr>
        <w:pStyle w:val="Zkladntextodsazen"/>
        <w:numPr>
          <w:ilvl w:val="0"/>
          <w:numId w:val="2"/>
        </w:numPr>
      </w:pPr>
      <w:r w:rsidRPr="00CF47B2">
        <w:t>Psací potřeby</w:t>
      </w:r>
    </w:p>
    <w:p w:rsidR="00B16467" w:rsidRPr="00CF47B2" w:rsidRDefault="00B16467" w:rsidP="00B16467">
      <w:pPr>
        <w:pStyle w:val="Zkladntextodsazen"/>
        <w:numPr>
          <w:ilvl w:val="0"/>
          <w:numId w:val="2"/>
        </w:numPr>
      </w:pPr>
      <w:r>
        <w:t>Účtová osnova pro podnikatele</w:t>
      </w:r>
    </w:p>
    <w:p w:rsidR="00B16467" w:rsidRPr="00CF47B2" w:rsidRDefault="00B16467" w:rsidP="00B16467">
      <w:pPr>
        <w:pStyle w:val="Nadpis3"/>
      </w:pPr>
      <w:bookmarkStart w:id="51" w:name="_Toc418595883"/>
      <w:bookmarkStart w:id="52" w:name="_Toc485715346"/>
      <w:r w:rsidRPr="00CF47B2">
        <w:t>Průběh a podmínky zkoušky</w:t>
      </w:r>
      <w:bookmarkEnd w:id="45"/>
      <w:bookmarkEnd w:id="46"/>
      <w:bookmarkEnd w:id="47"/>
      <w:bookmarkEnd w:id="48"/>
      <w:bookmarkEnd w:id="49"/>
      <w:bookmarkEnd w:id="50"/>
      <w:bookmarkEnd w:id="51"/>
      <w:bookmarkEnd w:id="52"/>
      <w:r w:rsidRPr="00CF47B2">
        <w:t xml:space="preserve"> </w:t>
      </w:r>
    </w:p>
    <w:p w:rsidR="00B16467" w:rsidRDefault="00B16467" w:rsidP="00B16467">
      <w:pPr>
        <w:pStyle w:val="Zkladntextodsazen"/>
        <w:ind w:firstLine="0"/>
      </w:pPr>
      <w:r w:rsidRPr="00CF47B2">
        <w:t xml:space="preserve">Zkouška je písemná. Na zpracování zkoušky je celkem čistého času 4 hodiny. </w:t>
      </w:r>
      <w:r>
        <w:t xml:space="preserve">Minimální bodové ohodnocení pro úspěšné složení zkoušky je 60 bodů. </w:t>
      </w:r>
    </w:p>
    <w:p w:rsidR="00B16467" w:rsidRPr="00CF47B2" w:rsidRDefault="00B16467" w:rsidP="00B16467">
      <w:pPr>
        <w:pStyle w:val="Zkladntextodsazen"/>
        <w:ind w:firstLine="0"/>
      </w:pPr>
      <w:r>
        <w:t>Zkouška j</w:t>
      </w:r>
      <w:r w:rsidRPr="00CF47B2">
        <w:t xml:space="preserve">e rozdělena do dvou dílčích částí, které jsou zadávány postupně. </w:t>
      </w:r>
    </w:p>
    <w:p w:rsidR="00B16467" w:rsidRPr="00CF47B2" w:rsidRDefault="00B16467" w:rsidP="00B16467">
      <w:pPr>
        <w:tabs>
          <w:tab w:val="left" w:pos="360"/>
        </w:tabs>
        <w:spacing w:before="120"/>
        <w:jc w:val="both"/>
      </w:pPr>
      <w:r w:rsidRPr="00CF47B2">
        <w:t>1)</w:t>
      </w:r>
      <w:r w:rsidRPr="00CF47B2">
        <w:tab/>
      </w:r>
      <w:r w:rsidRPr="00CF47B2">
        <w:rPr>
          <w:rStyle w:val="BodyCharCharCharCharChar"/>
        </w:rPr>
        <w:t>Test</w:t>
      </w:r>
      <w:r>
        <w:t xml:space="preserve"> – Maximální bodové ohodnocení je 40 bodů, čistý čas 1,5 hodiny. </w:t>
      </w:r>
    </w:p>
    <w:p w:rsidR="00B16467" w:rsidRPr="00CF47B2" w:rsidRDefault="00B16467" w:rsidP="00B16467">
      <w:pPr>
        <w:pStyle w:val="Zkladntext"/>
        <w:rPr>
          <w:b/>
          <w:bCs/>
          <w:i/>
          <w:iCs/>
        </w:rPr>
      </w:pPr>
      <w:r w:rsidRPr="00CF47B2">
        <w:rPr>
          <w:b/>
          <w:bCs/>
          <w:i/>
          <w:iCs/>
        </w:rPr>
        <w:t xml:space="preserve">      a) potvrdit pravdivost 20 uvedených tvrzení </w:t>
      </w:r>
    </w:p>
    <w:p w:rsidR="00B16467" w:rsidRPr="00CF47B2" w:rsidRDefault="00B16467" w:rsidP="00B16467">
      <w:pPr>
        <w:tabs>
          <w:tab w:val="left" w:pos="2700"/>
          <w:tab w:val="left" w:pos="3240"/>
        </w:tabs>
        <w:spacing w:before="120"/>
        <w:ind w:left="3240" w:hanging="2532"/>
        <w:jc w:val="both"/>
      </w:pPr>
      <w:r w:rsidRPr="00CF47B2">
        <w:t>ve sloupci ANO</w:t>
      </w:r>
      <w:r w:rsidRPr="00CF47B2">
        <w:tab/>
        <w:t>–</w:t>
      </w:r>
      <w:r w:rsidRPr="00CF47B2">
        <w:tab/>
        <w:t>v případě, že tvrzení je pravdivé,</w:t>
      </w:r>
    </w:p>
    <w:p w:rsidR="00B16467" w:rsidRPr="00CF47B2" w:rsidRDefault="00B16467" w:rsidP="00B16467">
      <w:pPr>
        <w:tabs>
          <w:tab w:val="left" w:pos="2700"/>
        </w:tabs>
        <w:spacing w:before="120"/>
        <w:ind w:left="3240" w:hanging="2532"/>
        <w:jc w:val="both"/>
      </w:pPr>
      <w:r w:rsidRPr="00CF47B2">
        <w:t>ve sloupci NE</w:t>
      </w:r>
      <w:r w:rsidRPr="00CF47B2">
        <w:tab/>
        <w:t xml:space="preserve">– </w:t>
      </w:r>
      <w:r w:rsidRPr="00CF47B2">
        <w:tab/>
        <w:t>v případě, že tvrzení není v plném rozsahu pravdivé nebo je nepravdivé.</w:t>
      </w:r>
    </w:p>
    <w:p w:rsidR="00B16467" w:rsidRPr="00CF47B2" w:rsidRDefault="00B16467" w:rsidP="00B16467">
      <w:pPr>
        <w:spacing w:before="120"/>
        <w:ind w:left="360"/>
        <w:jc w:val="both"/>
      </w:pPr>
      <w:r w:rsidRPr="00CF47B2">
        <w:lastRenderedPageBreak/>
        <w:t>Za správnou odpověď je 1 bod, nesprávná odpověď mínus 1 bod a nezodpovězená otázka je hodnocena nulou. Maximální bodové ohodnocení z testu je 20 bodů.</w:t>
      </w:r>
    </w:p>
    <w:p w:rsidR="00B16467" w:rsidRPr="00CF47B2" w:rsidRDefault="00B16467" w:rsidP="00B16467">
      <w:pPr>
        <w:spacing w:before="120"/>
        <w:ind w:left="360"/>
        <w:jc w:val="both"/>
      </w:pPr>
      <w:r w:rsidRPr="00CF47B2">
        <w:rPr>
          <w:b/>
          <w:i/>
        </w:rPr>
        <w:t>b) aktivně zodpovědět 10 otázek</w:t>
      </w:r>
      <w:r w:rsidRPr="00CF47B2">
        <w:t xml:space="preserve"> </w:t>
      </w:r>
    </w:p>
    <w:p w:rsidR="00B16467" w:rsidRDefault="00B16467" w:rsidP="00B16467">
      <w:pPr>
        <w:spacing w:before="120"/>
        <w:ind w:left="720" w:hanging="360"/>
        <w:jc w:val="both"/>
      </w:pPr>
      <w:r w:rsidRPr="00CF47B2">
        <w:t>–</w:t>
      </w:r>
      <w:r w:rsidRPr="00CF47B2">
        <w:tab/>
        <w:t>správná odpověď 2 body, správná</w:t>
      </w:r>
      <w:r>
        <w:t>,</w:t>
      </w:r>
      <w:r w:rsidRPr="00CF47B2">
        <w:t xml:space="preserve"> ale neúplná odpověď 1 bod, nesprávná </w:t>
      </w:r>
      <w:r>
        <w:t>nebo</w:t>
      </w:r>
      <w:r w:rsidRPr="00CF47B2">
        <w:t xml:space="preserve"> neuvedená odpověď je hodnocena nulou. Maximální bodové ohodnocení je 20 bodů.</w:t>
      </w:r>
    </w:p>
    <w:p w:rsidR="00B16467" w:rsidRDefault="00B16467" w:rsidP="00B16467">
      <w:pPr>
        <w:spacing w:before="120"/>
        <w:jc w:val="both"/>
      </w:pPr>
      <w:r w:rsidRPr="00CF47B2">
        <w:t>2)</w:t>
      </w:r>
      <w:r>
        <w:t xml:space="preserve"> </w:t>
      </w:r>
      <w:r w:rsidRPr="00CF47B2">
        <w:rPr>
          <w:rStyle w:val="BodyCharCharCharCharChar"/>
        </w:rPr>
        <w:t>Příklady a případové studie</w:t>
      </w:r>
      <w:r w:rsidRPr="00CF47B2">
        <w:t xml:space="preserve"> – Maximální bodové ohodnocení je 60 bodů</w:t>
      </w:r>
      <w:r>
        <w:t xml:space="preserve">, </w:t>
      </w:r>
    </w:p>
    <w:p w:rsidR="00B16467" w:rsidRPr="00CF47B2" w:rsidRDefault="00B16467" w:rsidP="00B16467">
      <w:pPr>
        <w:jc w:val="both"/>
      </w:pPr>
      <w:r>
        <w:t xml:space="preserve">                                                     čistý čas 2,5 hodiny</w:t>
      </w:r>
      <w:r w:rsidRPr="00CF47B2">
        <w:t xml:space="preserve"> </w:t>
      </w:r>
    </w:p>
    <w:p w:rsidR="00B16467" w:rsidRPr="00CF47B2" w:rsidRDefault="00B16467" w:rsidP="00B16467">
      <w:pPr>
        <w:spacing w:before="120"/>
        <w:jc w:val="both"/>
      </w:pPr>
      <w:r w:rsidRPr="00CF47B2">
        <w:t xml:space="preserve">Body se sčítají za test, příklady a případové studie. </w:t>
      </w:r>
    </w:p>
    <w:p w:rsidR="00937B10" w:rsidRDefault="00B16467">
      <w:bookmarkStart w:id="53" w:name="_GoBack"/>
      <w:bookmarkEnd w:id="53"/>
    </w:p>
    <w:sectPr w:rsidR="00937B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409A"/>
    <w:multiLevelType w:val="hybridMultilevel"/>
    <w:tmpl w:val="267836B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FB6762"/>
    <w:multiLevelType w:val="hybridMultilevel"/>
    <w:tmpl w:val="C32A9600"/>
    <w:lvl w:ilvl="0" w:tplc="62E8DFBC">
      <w:start w:val="1"/>
      <w:numFmt w:val="decimal"/>
      <w:lvlText w:val="[%1]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6B4789"/>
    <w:multiLevelType w:val="hybridMultilevel"/>
    <w:tmpl w:val="25327200"/>
    <w:lvl w:ilvl="0" w:tplc="0405000F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>
      <w:start w:val="1"/>
      <w:numFmt w:val="decimal"/>
      <w:lvlText w:val="[%2]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7A6FA0">
      <w:start w:val="7"/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5A2B49"/>
    <w:multiLevelType w:val="hybridMultilevel"/>
    <w:tmpl w:val="E698DD1E"/>
    <w:lvl w:ilvl="0" w:tplc="7E22501C">
      <w:start w:val="1"/>
      <w:numFmt w:val="decimal"/>
      <w:lvlText w:val="[%1]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>
    <w:nsid w:val="44D268DC"/>
    <w:multiLevelType w:val="hybridMultilevel"/>
    <w:tmpl w:val="285009BE"/>
    <w:lvl w:ilvl="0" w:tplc="BD82BBBE">
      <w:start w:val="1"/>
      <w:numFmt w:val="decimal"/>
      <w:lvlText w:val="[%1]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957525"/>
    <w:multiLevelType w:val="hybridMultilevel"/>
    <w:tmpl w:val="285009BE"/>
    <w:lvl w:ilvl="0" w:tplc="BD82BBBE">
      <w:start w:val="1"/>
      <w:numFmt w:val="decimal"/>
      <w:lvlText w:val="[%1]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C570CB"/>
    <w:multiLevelType w:val="multilevel"/>
    <w:tmpl w:val="E602695E"/>
    <w:lvl w:ilvl="0">
      <w:start w:val="1"/>
      <w:numFmt w:val="upperLetter"/>
      <w:lvlText w:val="%1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64"/>
        </w:tabs>
        <w:ind w:left="864" w:hanging="864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737C3F1B"/>
    <w:multiLevelType w:val="hybridMultilevel"/>
    <w:tmpl w:val="6D5CC678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467"/>
    <w:rsid w:val="00354E99"/>
    <w:rsid w:val="00B16467"/>
    <w:rsid w:val="00BB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646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Nadpis2">
    <w:name w:val="heading 2"/>
    <w:aliases w:val="+"/>
    <w:basedOn w:val="Normln"/>
    <w:next w:val="Normln"/>
    <w:link w:val="Nadpis2Char"/>
    <w:qFormat/>
    <w:rsid w:val="00B16467"/>
    <w:pPr>
      <w:keepNext/>
      <w:spacing w:before="360" w:after="180"/>
      <w:ind w:left="576"/>
      <w:outlineLvl w:val="1"/>
    </w:pPr>
    <w:rPr>
      <w:rFonts w:ascii="Arial" w:hAnsi="Arial"/>
      <w:b/>
      <w:smallCaps/>
      <w:snapToGrid w:val="0"/>
      <w:color w:val="003366"/>
      <w:sz w:val="44"/>
      <w:szCs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3">
    <w:name w:val="heading 3"/>
    <w:basedOn w:val="Normln"/>
    <w:next w:val="Normln"/>
    <w:link w:val="Nadpis3Char"/>
    <w:qFormat/>
    <w:rsid w:val="00B16467"/>
    <w:pPr>
      <w:keepNext/>
      <w:numPr>
        <w:ilvl w:val="2"/>
        <w:numId w:val="4"/>
      </w:numPr>
      <w:spacing w:before="360" w:after="180"/>
      <w:outlineLvl w:val="2"/>
    </w:pPr>
    <w:rPr>
      <w:rFonts w:ascii="Arial" w:hAnsi="Arial" w:cs="Arial"/>
      <w:b/>
      <w:color w:val="003366"/>
      <w:sz w:val="36"/>
      <w:szCs w:val="70"/>
    </w:rPr>
  </w:style>
  <w:style w:type="paragraph" w:styleId="Nadpis4">
    <w:name w:val="heading 4"/>
    <w:basedOn w:val="Normln"/>
    <w:next w:val="Normln"/>
    <w:link w:val="Nadpis4Char"/>
    <w:qFormat/>
    <w:rsid w:val="00B16467"/>
    <w:pPr>
      <w:keepNext/>
      <w:tabs>
        <w:tab w:val="left" w:pos="900"/>
      </w:tabs>
      <w:spacing w:before="240" w:after="120"/>
      <w:outlineLvl w:val="3"/>
    </w:pPr>
    <w:rPr>
      <w:rFonts w:ascii="Arial" w:hAnsi="Arial"/>
      <w:b/>
      <w:color w:val="003366"/>
      <w:sz w:val="32"/>
      <w:szCs w:val="70"/>
    </w:rPr>
  </w:style>
  <w:style w:type="paragraph" w:styleId="Nadpis5">
    <w:name w:val="heading 5"/>
    <w:basedOn w:val="Normln"/>
    <w:next w:val="Normln"/>
    <w:link w:val="Nadpis5Char"/>
    <w:qFormat/>
    <w:rsid w:val="00B16467"/>
    <w:pPr>
      <w:keepNext/>
      <w:numPr>
        <w:ilvl w:val="4"/>
        <w:numId w:val="4"/>
      </w:numPr>
      <w:jc w:val="center"/>
      <w:outlineLvl w:val="4"/>
    </w:pPr>
    <w:rPr>
      <w:sz w:val="32"/>
    </w:rPr>
  </w:style>
  <w:style w:type="paragraph" w:styleId="Nadpis6">
    <w:name w:val="heading 6"/>
    <w:basedOn w:val="Normln"/>
    <w:next w:val="Normln"/>
    <w:link w:val="Nadpis6Char"/>
    <w:qFormat/>
    <w:rsid w:val="00B16467"/>
    <w:pPr>
      <w:keepNext/>
      <w:numPr>
        <w:ilvl w:val="5"/>
        <w:numId w:val="4"/>
      </w:numPr>
      <w:jc w:val="center"/>
      <w:outlineLvl w:val="5"/>
    </w:pPr>
    <w:rPr>
      <w:b/>
      <w:bCs/>
      <w:sz w:val="36"/>
      <w:szCs w:val="36"/>
    </w:rPr>
  </w:style>
  <w:style w:type="paragraph" w:styleId="Nadpis7">
    <w:name w:val="heading 7"/>
    <w:basedOn w:val="Normln"/>
    <w:next w:val="Normln"/>
    <w:link w:val="Nadpis7Char"/>
    <w:qFormat/>
    <w:rsid w:val="00B16467"/>
    <w:pPr>
      <w:keepNext/>
      <w:numPr>
        <w:ilvl w:val="6"/>
        <w:numId w:val="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jc w:val="center"/>
      <w:outlineLvl w:val="6"/>
    </w:pPr>
    <w:rPr>
      <w:rFonts w:ascii="Arial Black" w:hAnsi="Arial Black"/>
      <w:sz w:val="60"/>
    </w:rPr>
  </w:style>
  <w:style w:type="paragraph" w:styleId="Nadpis8">
    <w:name w:val="heading 8"/>
    <w:basedOn w:val="Normln"/>
    <w:next w:val="Normln"/>
    <w:link w:val="Nadpis8Char"/>
    <w:qFormat/>
    <w:rsid w:val="00B16467"/>
    <w:pPr>
      <w:keepNext/>
      <w:numPr>
        <w:ilvl w:val="7"/>
        <w:numId w:val="4"/>
      </w:numPr>
      <w:shd w:val="clear" w:color="auto" w:fill="D9D9D9"/>
      <w:jc w:val="center"/>
      <w:outlineLvl w:val="7"/>
    </w:pPr>
    <w:rPr>
      <w:rFonts w:ascii="Arial Black" w:hAnsi="Arial Black"/>
      <w:sz w:val="60"/>
      <w:szCs w:val="70"/>
    </w:rPr>
  </w:style>
  <w:style w:type="paragraph" w:styleId="Nadpis9">
    <w:name w:val="heading 9"/>
    <w:basedOn w:val="Normln"/>
    <w:next w:val="Normln"/>
    <w:link w:val="Nadpis9Char"/>
    <w:qFormat/>
    <w:rsid w:val="00B16467"/>
    <w:pPr>
      <w:keepNext/>
      <w:numPr>
        <w:ilvl w:val="8"/>
        <w:numId w:val="4"/>
      </w:numPr>
      <w:spacing w:before="240"/>
      <w:jc w:val="center"/>
      <w:outlineLvl w:val="8"/>
    </w:pPr>
    <w:rPr>
      <w:rFonts w:ascii="Arial Black" w:hAnsi="Arial Black"/>
      <w:sz w:val="7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aliases w:val="+ Char"/>
    <w:basedOn w:val="Standardnpsmoodstavce"/>
    <w:link w:val="Nadpis2"/>
    <w:rsid w:val="00B16467"/>
    <w:rPr>
      <w:rFonts w:ascii="Arial" w:eastAsia="Times New Roman" w:hAnsi="Arial" w:cs="Times New Roman"/>
      <w:b/>
      <w:smallCaps/>
      <w:snapToGrid w:val="0"/>
      <w:color w:val="003366"/>
      <w:sz w:val="44"/>
      <w:szCs w:val="44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dpis3Char">
    <w:name w:val="Nadpis 3 Char"/>
    <w:basedOn w:val="Standardnpsmoodstavce"/>
    <w:link w:val="Nadpis3"/>
    <w:rsid w:val="00B16467"/>
    <w:rPr>
      <w:rFonts w:ascii="Arial" w:eastAsia="Times New Roman" w:hAnsi="Arial" w:cs="Arial"/>
      <w:b/>
      <w:color w:val="003366"/>
      <w:sz w:val="36"/>
      <w:szCs w:val="70"/>
      <w:lang w:eastAsia="cs-CZ"/>
    </w:rPr>
  </w:style>
  <w:style w:type="character" w:customStyle="1" w:styleId="Nadpis4Char">
    <w:name w:val="Nadpis 4 Char"/>
    <w:basedOn w:val="Standardnpsmoodstavce"/>
    <w:link w:val="Nadpis4"/>
    <w:rsid w:val="00B16467"/>
    <w:rPr>
      <w:rFonts w:ascii="Arial" w:eastAsia="Times New Roman" w:hAnsi="Arial" w:cs="Times New Roman"/>
      <w:b/>
      <w:color w:val="003366"/>
      <w:sz w:val="32"/>
      <w:szCs w:val="70"/>
      <w:lang w:eastAsia="cs-CZ"/>
    </w:rPr>
  </w:style>
  <w:style w:type="character" w:customStyle="1" w:styleId="Nadpis5Char">
    <w:name w:val="Nadpis 5 Char"/>
    <w:basedOn w:val="Standardnpsmoodstavce"/>
    <w:link w:val="Nadpis5"/>
    <w:rsid w:val="00B16467"/>
    <w:rPr>
      <w:rFonts w:ascii="Times New Roman" w:eastAsia="Times New Roman" w:hAnsi="Times New Roman" w:cs="Times New Roman"/>
      <w:color w:val="000000"/>
      <w:sz w:val="32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B16467"/>
    <w:rPr>
      <w:rFonts w:ascii="Times New Roman" w:eastAsia="Times New Roman" w:hAnsi="Times New Roman" w:cs="Times New Roman"/>
      <w:b/>
      <w:bCs/>
      <w:color w:val="000000"/>
      <w:sz w:val="36"/>
      <w:szCs w:val="36"/>
      <w:lang w:eastAsia="cs-CZ"/>
    </w:rPr>
  </w:style>
  <w:style w:type="character" w:customStyle="1" w:styleId="Nadpis7Char">
    <w:name w:val="Nadpis 7 Char"/>
    <w:basedOn w:val="Standardnpsmoodstavce"/>
    <w:link w:val="Nadpis7"/>
    <w:rsid w:val="00B16467"/>
    <w:rPr>
      <w:rFonts w:ascii="Arial Black" w:eastAsia="Times New Roman" w:hAnsi="Arial Black" w:cs="Times New Roman"/>
      <w:color w:val="000000"/>
      <w:sz w:val="60"/>
      <w:szCs w:val="24"/>
      <w:shd w:val="clear" w:color="auto" w:fill="E0E0E0"/>
      <w:lang w:eastAsia="cs-CZ"/>
    </w:rPr>
  </w:style>
  <w:style w:type="character" w:customStyle="1" w:styleId="Nadpis8Char">
    <w:name w:val="Nadpis 8 Char"/>
    <w:basedOn w:val="Standardnpsmoodstavce"/>
    <w:link w:val="Nadpis8"/>
    <w:rsid w:val="00B16467"/>
    <w:rPr>
      <w:rFonts w:ascii="Arial Black" w:eastAsia="Times New Roman" w:hAnsi="Arial Black" w:cs="Times New Roman"/>
      <w:color w:val="000000"/>
      <w:sz w:val="60"/>
      <w:szCs w:val="70"/>
      <w:shd w:val="clear" w:color="auto" w:fill="D9D9D9"/>
      <w:lang w:eastAsia="cs-CZ"/>
    </w:rPr>
  </w:style>
  <w:style w:type="character" w:customStyle="1" w:styleId="Nadpis9Char">
    <w:name w:val="Nadpis 9 Char"/>
    <w:basedOn w:val="Standardnpsmoodstavce"/>
    <w:link w:val="Nadpis9"/>
    <w:rsid w:val="00B16467"/>
    <w:rPr>
      <w:rFonts w:ascii="Arial Black" w:eastAsia="Times New Roman" w:hAnsi="Arial Black" w:cs="Times New Roman"/>
      <w:color w:val="000000"/>
      <w:sz w:val="72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B16467"/>
    <w:pPr>
      <w:spacing w:before="120"/>
      <w:ind w:firstLine="540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qFormat/>
    <w:rsid w:val="00B16467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B16467"/>
    <w:pPr>
      <w:spacing w:before="120"/>
      <w:jc w:val="both"/>
    </w:pPr>
  </w:style>
  <w:style w:type="character" w:customStyle="1" w:styleId="ZkladntextChar">
    <w:name w:val="Základní text Char"/>
    <w:basedOn w:val="Standardnpsmoodstavce"/>
    <w:link w:val="Zkladntext"/>
    <w:rsid w:val="00B16467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BodyCharCharCharChar">
    <w:name w:val="Body Char Char Char Char"/>
    <w:basedOn w:val="Normln"/>
    <w:link w:val="BodyCharCharCharCharChar"/>
    <w:rsid w:val="00B16467"/>
    <w:pPr>
      <w:spacing w:before="180"/>
      <w:ind w:right="960"/>
      <w:jc w:val="both"/>
    </w:pPr>
    <w:rPr>
      <w:rFonts w:eastAsia="MS Mincho"/>
      <w:b/>
      <w:bCs/>
    </w:rPr>
  </w:style>
  <w:style w:type="character" w:customStyle="1" w:styleId="BodyCharCharCharCharChar">
    <w:name w:val="Body Char Char Char Char Char"/>
    <w:basedOn w:val="Standardnpsmoodstavce"/>
    <w:link w:val="BodyCharCharCharChar"/>
    <w:rsid w:val="00B16467"/>
    <w:rPr>
      <w:rFonts w:ascii="Times New Roman" w:eastAsia="MS Mincho" w:hAnsi="Times New Roman" w:cs="Times New Roman"/>
      <w:b/>
      <w:bCs/>
      <w:color w:val="000000"/>
      <w:sz w:val="24"/>
      <w:szCs w:val="24"/>
      <w:lang w:eastAsia="cs-CZ"/>
    </w:rPr>
  </w:style>
  <w:style w:type="table" w:styleId="Mkatabulky">
    <w:name w:val="Table Grid"/>
    <w:aliases w:val="Deloitte table 3"/>
    <w:basedOn w:val="Normlntabulka"/>
    <w:rsid w:val="00B16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B16467"/>
    <w:pPr>
      <w:ind w:left="720"/>
    </w:pPr>
    <w:rPr>
      <w:rFonts w:ascii="Calibri" w:eastAsia="Calibri" w:hAnsi="Calibri" w:cs="Calibri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646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Nadpis2">
    <w:name w:val="heading 2"/>
    <w:aliases w:val="+"/>
    <w:basedOn w:val="Normln"/>
    <w:next w:val="Normln"/>
    <w:link w:val="Nadpis2Char"/>
    <w:qFormat/>
    <w:rsid w:val="00B16467"/>
    <w:pPr>
      <w:keepNext/>
      <w:spacing w:before="360" w:after="180"/>
      <w:ind w:left="576"/>
      <w:outlineLvl w:val="1"/>
    </w:pPr>
    <w:rPr>
      <w:rFonts w:ascii="Arial" w:hAnsi="Arial"/>
      <w:b/>
      <w:smallCaps/>
      <w:snapToGrid w:val="0"/>
      <w:color w:val="003366"/>
      <w:sz w:val="44"/>
      <w:szCs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3">
    <w:name w:val="heading 3"/>
    <w:basedOn w:val="Normln"/>
    <w:next w:val="Normln"/>
    <w:link w:val="Nadpis3Char"/>
    <w:qFormat/>
    <w:rsid w:val="00B16467"/>
    <w:pPr>
      <w:keepNext/>
      <w:numPr>
        <w:ilvl w:val="2"/>
        <w:numId w:val="4"/>
      </w:numPr>
      <w:spacing w:before="360" w:after="180"/>
      <w:outlineLvl w:val="2"/>
    </w:pPr>
    <w:rPr>
      <w:rFonts w:ascii="Arial" w:hAnsi="Arial" w:cs="Arial"/>
      <w:b/>
      <w:color w:val="003366"/>
      <w:sz w:val="36"/>
      <w:szCs w:val="70"/>
    </w:rPr>
  </w:style>
  <w:style w:type="paragraph" w:styleId="Nadpis4">
    <w:name w:val="heading 4"/>
    <w:basedOn w:val="Normln"/>
    <w:next w:val="Normln"/>
    <w:link w:val="Nadpis4Char"/>
    <w:qFormat/>
    <w:rsid w:val="00B16467"/>
    <w:pPr>
      <w:keepNext/>
      <w:tabs>
        <w:tab w:val="left" w:pos="900"/>
      </w:tabs>
      <w:spacing w:before="240" w:after="120"/>
      <w:outlineLvl w:val="3"/>
    </w:pPr>
    <w:rPr>
      <w:rFonts w:ascii="Arial" w:hAnsi="Arial"/>
      <w:b/>
      <w:color w:val="003366"/>
      <w:sz w:val="32"/>
      <w:szCs w:val="70"/>
    </w:rPr>
  </w:style>
  <w:style w:type="paragraph" w:styleId="Nadpis5">
    <w:name w:val="heading 5"/>
    <w:basedOn w:val="Normln"/>
    <w:next w:val="Normln"/>
    <w:link w:val="Nadpis5Char"/>
    <w:qFormat/>
    <w:rsid w:val="00B16467"/>
    <w:pPr>
      <w:keepNext/>
      <w:numPr>
        <w:ilvl w:val="4"/>
        <w:numId w:val="4"/>
      </w:numPr>
      <w:jc w:val="center"/>
      <w:outlineLvl w:val="4"/>
    </w:pPr>
    <w:rPr>
      <w:sz w:val="32"/>
    </w:rPr>
  </w:style>
  <w:style w:type="paragraph" w:styleId="Nadpis6">
    <w:name w:val="heading 6"/>
    <w:basedOn w:val="Normln"/>
    <w:next w:val="Normln"/>
    <w:link w:val="Nadpis6Char"/>
    <w:qFormat/>
    <w:rsid w:val="00B16467"/>
    <w:pPr>
      <w:keepNext/>
      <w:numPr>
        <w:ilvl w:val="5"/>
        <w:numId w:val="4"/>
      </w:numPr>
      <w:jc w:val="center"/>
      <w:outlineLvl w:val="5"/>
    </w:pPr>
    <w:rPr>
      <w:b/>
      <w:bCs/>
      <w:sz w:val="36"/>
      <w:szCs w:val="36"/>
    </w:rPr>
  </w:style>
  <w:style w:type="paragraph" w:styleId="Nadpis7">
    <w:name w:val="heading 7"/>
    <w:basedOn w:val="Normln"/>
    <w:next w:val="Normln"/>
    <w:link w:val="Nadpis7Char"/>
    <w:qFormat/>
    <w:rsid w:val="00B16467"/>
    <w:pPr>
      <w:keepNext/>
      <w:numPr>
        <w:ilvl w:val="6"/>
        <w:numId w:val="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jc w:val="center"/>
      <w:outlineLvl w:val="6"/>
    </w:pPr>
    <w:rPr>
      <w:rFonts w:ascii="Arial Black" w:hAnsi="Arial Black"/>
      <w:sz w:val="60"/>
    </w:rPr>
  </w:style>
  <w:style w:type="paragraph" w:styleId="Nadpis8">
    <w:name w:val="heading 8"/>
    <w:basedOn w:val="Normln"/>
    <w:next w:val="Normln"/>
    <w:link w:val="Nadpis8Char"/>
    <w:qFormat/>
    <w:rsid w:val="00B16467"/>
    <w:pPr>
      <w:keepNext/>
      <w:numPr>
        <w:ilvl w:val="7"/>
        <w:numId w:val="4"/>
      </w:numPr>
      <w:shd w:val="clear" w:color="auto" w:fill="D9D9D9"/>
      <w:jc w:val="center"/>
      <w:outlineLvl w:val="7"/>
    </w:pPr>
    <w:rPr>
      <w:rFonts w:ascii="Arial Black" w:hAnsi="Arial Black"/>
      <w:sz w:val="60"/>
      <w:szCs w:val="70"/>
    </w:rPr>
  </w:style>
  <w:style w:type="paragraph" w:styleId="Nadpis9">
    <w:name w:val="heading 9"/>
    <w:basedOn w:val="Normln"/>
    <w:next w:val="Normln"/>
    <w:link w:val="Nadpis9Char"/>
    <w:qFormat/>
    <w:rsid w:val="00B16467"/>
    <w:pPr>
      <w:keepNext/>
      <w:numPr>
        <w:ilvl w:val="8"/>
        <w:numId w:val="4"/>
      </w:numPr>
      <w:spacing w:before="240"/>
      <w:jc w:val="center"/>
      <w:outlineLvl w:val="8"/>
    </w:pPr>
    <w:rPr>
      <w:rFonts w:ascii="Arial Black" w:hAnsi="Arial Black"/>
      <w:sz w:val="7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aliases w:val="+ Char"/>
    <w:basedOn w:val="Standardnpsmoodstavce"/>
    <w:link w:val="Nadpis2"/>
    <w:rsid w:val="00B16467"/>
    <w:rPr>
      <w:rFonts w:ascii="Arial" w:eastAsia="Times New Roman" w:hAnsi="Arial" w:cs="Times New Roman"/>
      <w:b/>
      <w:smallCaps/>
      <w:snapToGrid w:val="0"/>
      <w:color w:val="003366"/>
      <w:sz w:val="44"/>
      <w:szCs w:val="44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dpis3Char">
    <w:name w:val="Nadpis 3 Char"/>
    <w:basedOn w:val="Standardnpsmoodstavce"/>
    <w:link w:val="Nadpis3"/>
    <w:rsid w:val="00B16467"/>
    <w:rPr>
      <w:rFonts w:ascii="Arial" w:eastAsia="Times New Roman" w:hAnsi="Arial" w:cs="Arial"/>
      <w:b/>
      <w:color w:val="003366"/>
      <w:sz w:val="36"/>
      <w:szCs w:val="70"/>
      <w:lang w:eastAsia="cs-CZ"/>
    </w:rPr>
  </w:style>
  <w:style w:type="character" w:customStyle="1" w:styleId="Nadpis4Char">
    <w:name w:val="Nadpis 4 Char"/>
    <w:basedOn w:val="Standardnpsmoodstavce"/>
    <w:link w:val="Nadpis4"/>
    <w:rsid w:val="00B16467"/>
    <w:rPr>
      <w:rFonts w:ascii="Arial" w:eastAsia="Times New Roman" w:hAnsi="Arial" w:cs="Times New Roman"/>
      <w:b/>
      <w:color w:val="003366"/>
      <w:sz w:val="32"/>
      <w:szCs w:val="70"/>
      <w:lang w:eastAsia="cs-CZ"/>
    </w:rPr>
  </w:style>
  <w:style w:type="character" w:customStyle="1" w:styleId="Nadpis5Char">
    <w:name w:val="Nadpis 5 Char"/>
    <w:basedOn w:val="Standardnpsmoodstavce"/>
    <w:link w:val="Nadpis5"/>
    <w:rsid w:val="00B16467"/>
    <w:rPr>
      <w:rFonts w:ascii="Times New Roman" w:eastAsia="Times New Roman" w:hAnsi="Times New Roman" w:cs="Times New Roman"/>
      <w:color w:val="000000"/>
      <w:sz w:val="32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B16467"/>
    <w:rPr>
      <w:rFonts w:ascii="Times New Roman" w:eastAsia="Times New Roman" w:hAnsi="Times New Roman" w:cs="Times New Roman"/>
      <w:b/>
      <w:bCs/>
      <w:color w:val="000000"/>
      <w:sz w:val="36"/>
      <w:szCs w:val="36"/>
      <w:lang w:eastAsia="cs-CZ"/>
    </w:rPr>
  </w:style>
  <w:style w:type="character" w:customStyle="1" w:styleId="Nadpis7Char">
    <w:name w:val="Nadpis 7 Char"/>
    <w:basedOn w:val="Standardnpsmoodstavce"/>
    <w:link w:val="Nadpis7"/>
    <w:rsid w:val="00B16467"/>
    <w:rPr>
      <w:rFonts w:ascii="Arial Black" w:eastAsia="Times New Roman" w:hAnsi="Arial Black" w:cs="Times New Roman"/>
      <w:color w:val="000000"/>
      <w:sz w:val="60"/>
      <w:szCs w:val="24"/>
      <w:shd w:val="clear" w:color="auto" w:fill="E0E0E0"/>
      <w:lang w:eastAsia="cs-CZ"/>
    </w:rPr>
  </w:style>
  <w:style w:type="character" w:customStyle="1" w:styleId="Nadpis8Char">
    <w:name w:val="Nadpis 8 Char"/>
    <w:basedOn w:val="Standardnpsmoodstavce"/>
    <w:link w:val="Nadpis8"/>
    <w:rsid w:val="00B16467"/>
    <w:rPr>
      <w:rFonts w:ascii="Arial Black" w:eastAsia="Times New Roman" w:hAnsi="Arial Black" w:cs="Times New Roman"/>
      <w:color w:val="000000"/>
      <w:sz w:val="60"/>
      <w:szCs w:val="70"/>
      <w:shd w:val="clear" w:color="auto" w:fill="D9D9D9"/>
      <w:lang w:eastAsia="cs-CZ"/>
    </w:rPr>
  </w:style>
  <w:style w:type="character" w:customStyle="1" w:styleId="Nadpis9Char">
    <w:name w:val="Nadpis 9 Char"/>
    <w:basedOn w:val="Standardnpsmoodstavce"/>
    <w:link w:val="Nadpis9"/>
    <w:rsid w:val="00B16467"/>
    <w:rPr>
      <w:rFonts w:ascii="Arial Black" w:eastAsia="Times New Roman" w:hAnsi="Arial Black" w:cs="Times New Roman"/>
      <w:color w:val="000000"/>
      <w:sz w:val="72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B16467"/>
    <w:pPr>
      <w:spacing w:before="120"/>
      <w:ind w:firstLine="540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qFormat/>
    <w:rsid w:val="00B16467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B16467"/>
    <w:pPr>
      <w:spacing w:before="120"/>
      <w:jc w:val="both"/>
    </w:pPr>
  </w:style>
  <w:style w:type="character" w:customStyle="1" w:styleId="ZkladntextChar">
    <w:name w:val="Základní text Char"/>
    <w:basedOn w:val="Standardnpsmoodstavce"/>
    <w:link w:val="Zkladntext"/>
    <w:rsid w:val="00B16467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BodyCharCharCharChar">
    <w:name w:val="Body Char Char Char Char"/>
    <w:basedOn w:val="Normln"/>
    <w:link w:val="BodyCharCharCharCharChar"/>
    <w:rsid w:val="00B16467"/>
    <w:pPr>
      <w:spacing w:before="180"/>
      <w:ind w:right="960"/>
      <w:jc w:val="both"/>
    </w:pPr>
    <w:rPr>
      <w:rFonts w:eastAsia="MS Mincho"/>
      <w:b/>
      <w:bCs/>
    </w:rPr>
  </w:style>
  <w:style w:type="character" w:customStyle="1" w:styleId="BodyCharCharCharCharChar">
    <w:name w:val="Body Char Char Char Char Char"/>
    <w:basedOn w:val="Standardnpsmoodstavce"/>
    <w:link w:val="BodyCharCharCharChar"/>
    <w:rsid w:val="00B16467"/>
    <w:rPr>
      <w:rFonts w:ascii="Times New Roman" w:eastAsia="MS Mincho" w:hAnsi="Times New Roman" w:cs="Times New Roman"/>
      <w:b/>
      <w:bCs/>
      <w:color w:val="000000"/>
      <w:sz w:val="24"/>
      <w:szCs w:val="24"/>
      <w:lang w:eastAsia="cs-CZ"/>
    </w:rPr>
  </w:style>
  <w:style w:type="table" w:styleId="Mkatabulky">
    <w:name w:val="Table Grid"/>
    <w:aliases w:val="Deloitte table 3"/>
    <w:basedOn w:val="Normlntabulka"/>
    <w:rsid w:val="00B16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B16467"/>
    <w:pPr>
      <w:ind w:left="720"/>
    </w:pPr>
    <w:rPr>
      <w:rFonts w:ascii="Calibri" w:eastAsia="Calibri" w:hAnsi="Calibri" w:cs="Calibr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1183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KACR - Jitka Pagacova</dc:creator>
  <cp:lastModifiedBy>KACR - Jitka Pagacova</cp:lastModifiedBy>
  <cp:revision>1</cp:revision>
  <dcterms:created xsi:type="dcterms:W3CDTF">2020-03-17T09:45:00Z</dcterms:created>
  <dcterms:modified xsi:type="dcterms:W3CDTF">2020-03-17T09:46:00Z</dcterms:modified>
</cp:coreProperties>
</file>