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B4" w:rsidRPr="00895B3D" w:rsidRDefault="00E717B4" w:rsidP="00E717B4">
      <w:pPr>
        <w:pStyle w:val="Nadpis2"/>
        <w:numPr>
          <w:ilvl w:val="1"/>
          <w:numId w:val="1"/>
        </w:numPr>
      </w:pPr>
      <w:bookmarkStart w:id="0" w:name="_Toc485715397"/>
      <w:r w:rsidRPr="00895B3D">
        <w:t xml:space="preserve">Auditing </w:t>
      </w:r>
      <w:r>
        <w:t>II</w:t>
      </w:r>
      <w:bookmarkEnd w:id="0"/>
    </w:p>
    <w:p w:rsidR="00E717B4" w:rsidRPr="00895B3D" w:rsidRDefault="00E717B4" w:rsidP="00E717B4">
      <w:pPr>
        <w:pStyle w:val="Nadpis3"/>
        <w:tabs>
          <w:tab w:val="clear" w:pos="720"/>
          <w:tab w:val="num" w:pos="900"/>
        </w:tabs>
        <w:ind w:left="900"/>
      </w:pPr>
      <w:r>
        <w:t xml:space="preserve"> </w:t>
      </w:r>
      <w:bookmarkStart w:id="1" w:name="_Toc485715398"/>
      <w:r w:rsidRPr="00895B3D">
        <w:t>Cíle a zaměření zkoušky</w:t>
      </w:r>
      <w:bookmarkEnd w:id="1"/>
    </w:p>
    <w:p w:rsidR="00E717B4" w:rsidRPr="00895B3D" w:rsidRDefault="00E717B4" w:rsidP="00E717B4">
      <w:pPr>
        <w:rPr>
          <w:b/>
        </w:rPr>
      </w:pPr>
      <w:r w:rsidRPr="00895B3D">
        <w:rPr>
          <w:b/>
        </w:rPr>
        <w:t xml:space="preserve">Cílem a zaměřením zkoušky Auditing </w:t>
      </w:r>
      <w:r>
        <w:rPr>
          <w:b/>
        </w:rPr>
        <w:t>II</w:t>
      </w:r>
      <w:r w:rsidRPr="00895B3D">
        <w:rPr>
          <w:b/>
        </w:rPr>
        <w:t xml:space="preserve"> je u uchazečů ověřit: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A523C8">
        <w:t>znalost právních norem upravujících postavení, práva a povinnosti auditora i</w:t>
      </w:r>
      <w:r>
        <w:t> </w:t>
      </w:r>
      <w:r w:rsidRPr="00A523C8">
        <w:t>jednotlivých orgánů Komory auditorů ČR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A523C8">
        <w:t>znalost vnitřních předpisů KA ČR</w:t>
      </w:r>
    </w:p>
    <w:p w:rsidR="00E717B4" w:rsidRPr="00A523C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 xml:space="preserve">znalost </w:t>
      </w:r>
      <w:r w:rsidRPr="00A523C8">
        <w:t xml:space="preserve">etických principů auditorské profese </w:t>
      </w:r>
      <w:r>
        <w:t>a jejich aplikaci v praktických situacích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A523C8">
        <w:t>znalost mezinárodních auditorských standardů a standardů vydaných Komorou auditorů ČR a jejich praktickou aplikaci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>komunikace mezi auditorem, vedením účetní jednotky a osobami pověřenými správou a řízením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>schopnost provést a účastnit se skupinového auditu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>znalost mezinárodních standardů upravujících ověřovací zakázky a související služby a jejich praktickou aplikaci</w:t>
      </w:r>
    </w:p>
    <w:p w:rsidR="00E717B4" w:rsidRPr="00A523C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>znalost problematiky přezkoumání hospodaření a auditu územních samosprávných celků</w:t>
      </w:r>
    </w:p>
    <w:p w:rsidR="00E717B4" w:rsidRPr="00A523C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A523C8">
        <w:t>znalost problematiky řízení kvality při provádění auditů, prověrek a jiných ověřovacích zakázek a souvisejících služeb</w:t>
      </w:r>
    </w:p>
    <w:p w:rsidR="00E717B4" w:rsidRPr="00E72AB6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E72AB6">
        <w:t xml:space="preserve">schopnost přizpůsobit auditorské postupy </w:t>
      </w:r>
      <w:r>
        <w:t xml:space="preserve">specifikům </w:t>
      </w:r>
      <w:r w:rsidRPr="00E72AB6">
        <w:t>určitých odvětví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A523C8">
        <w:t>znalost funkce interního auditu, pochopení hlavních rozdílů a společných prvků externího a interního auditu včetně významu spolupráce externího auditora s interním auditorem</w:t>
      </w:r>
    </w:p>
    <w:p w:rsidR="00E717B4" w:rsidRPr="00A523C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A523C8">
        <w:t>znalost a prakticko</w:t>
      </w:r>
      <w:r>
        <w:t>u</w:t>
      </w:r>
      <w:r w:rsidRPr="00A523C8">
        <w:t xml:space="preserve"> aplikaci </w:t>
      </w:r>
      <w:r>
        <w:t xml:space="preserve">oblastí pokrytých </w:t>
      </w:r>
      <w:r w:rsidRPr="00A523C8">
        <w:t>zkouškou Auditing 1</w:t>
      </w:r>
    </w:p>
    <w:p w:rsidR="00E717B4" w:rsidRPr="00895B3D" w:rsidRDefault="00E717B4" w:rsidP="00E717B4">
      <w:pPr>
        <w:pStyle w:val="Nadpis3"/>
        <w:tabs>
          <w:tab w:val="clear" w:pos="720"/>
          <w:tab w:val="num" w:pos="900"/>
        </w:tabs>
        <w:ind w:left="900"/>
      </w:pPr>
      <w:r>
        <w:t xml:space="preserve"> </w:t>
      </w:r>
      <w:bookmarkStart w:id="2" w:name="_Toc485715399"/>
      <w:r w:rsidRPr="00895B3D">
        <w:t>Vymezení témat</w:t>
      </w:r>
      <w:bookmarkEnd w:id="2"/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 xml:space="preserve">Všechna témata ze zkoušky </w:t>
      </w:r>
      <w:r w:rsidRPr="00896C78">
        <w:rPr>
          <w:b/>
        </w:rPr>
        <w:t>Auditing I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 xml:space="preserve">Právní úprava auditu v České republice a její východiska 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>Obsah a struktura zákona č. 93/2009 Sb., o auditorech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>Vnitřní normy KA ČR</w:t>
      </w:r>
      <w:r>
        <w:t xml:space="preserve"> 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lastRenderedPageBreak/>
        <w:t>Mezinárodní</w:t>
      </w:r>
      <w:r>
        <w:t xml:space="preserve"> auditorské</w:t>
      </w:r>
      <w:r w:rsidRPr="0020511E">
        <w:t xml:space="preserve"> standardy a aplikační doložky KA ČR a jejich praktická aplikace </w:t>
      </w:r>
    </w:p>
    <w:p w:rsidR="00E717B4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 xml:space="preserve">Ostatní mezinárodní standardy vydávané IAASB a jejich praktická aplikace – </w:t>
      </w:r>
      <w:r w:rsidRPr="00540CA9">
        <w:rPr>
          <w:b/>
        </w:rPr>
        <w:t>veškeré standardy ISRE, ISAE a ISRS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>
        <w:t>Mezinárodní rámec pro ověřovací zakázky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 xml:space="preserve">Etický kodex </w:t>
      </w:r>
      <w:r>
        <w:t>pro auditory a účetní znalce přijatý KA ČR</w:t>
      </w:r>
      <w:r w:rsidRPr="0020511E">
        <w:t xml:space="preserve"> a jeho praktická aplikace</w:t>
      </w:r>
    </w:p>
    <w:p w:rsidR="00E717B4" w:rsidRPr="00896C7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>Řízení kvality u společností provádějících audity, prověrky historických finančních informací, ostatní ověřovací zakázky a související služby a řízení kvality auditorské činnosti</w:t>
      </w:r>
      <w:r>
        <w:t xml:space="preserve"> – </w:t>
      </w:r>
      <w:r w:rsidRPr="00540CA9">
        <w:rPr>
          <w:b/>
        </w:rPr>
        <w:t xml:space="preserve">znalost ISQC </w:t>
      </w:r>
      <w:smartTag w:uri="urn:schemas-microsoft-com:office:smarttags" w:element="metricconverter">
        <w:smartTagPr>
          <w:attr w:name="ProductID" w:val="1 a"/>
        </w:smartTagPr>
        <w:r w:rsidRPr="00540CA9">
          <w:rPr>
            <w:b/>
          </w:rPr>
          <w:t>1 a</w:t>
        </w:r>
      </w:smartTag>
      <w:r w:rsidRPr="00540CA9">
        <w:rPr>
          <w:b/>
        </w:rPr>
        <w:t xml:space="preserve"> ISA 220</w:t>
      </w:r>
    </w:p>
    <w:p w:rsidR="00E717B4" w:rsidRPr="00896C7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1C0470">
        <w:t>Stanovení podmínek zakázky</w:t>
      </w:r>
      <w:r w:rsidRPr="00896C78">
        <w:t xml:space="preserve"> </w:t>
      </w:r>
      <w:r>
        <w:t xml:space="preserve">- </w:t>
      </w:r>
      <w:r w:rsidRPr="00540CA9">
        <w:rPr>
          <w:b/>
        </w:rPr>
        <w:t>znalost ISA 210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>Postupy auditorů související s podvody při auditu účetní závěrky</w:t>
      </w:r>
      <w:r>
        <w:t xml:space="preserve"> – odpovědnost auditora v souvislosti s podvody, druhy podvodů, reakce auditora, komunikace s účetní jednotkou - </w:t>
      </w:r>
      <w:r w:rsidRPr="00540CA9">
        <w:rPr>
          <w:b/>
        </w:rPr>
        <w:t>znalost ISA 240</w:t>
      </w:r>
    </w:p>
    <w:p w:rsidR="00E717B4" w:rsidRPr="00540CA9" w:rsidRDefault="00E717B4" w:rsidP="00E717B4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20511E">
        <w:t>Přihlížení k zákonům a nařízením při auditu účetní závěrky</w:t>
      </w:r>
      <w:r>
        <w:t xml:space="preserve"> – odpovědnost auditora i účetní jednotky, komunikace s účetní jednotkou, možný vliv na zprávu auditora</w:t>
      </w:r>
      <w:r w:rsidRPr="00896C78">
        <w:t xml:space="preserve"> </w:t>
      </w:r>
      <w:r>
        <w:t xml:space="preserve">- </w:t>
      </w:r>
      <w:r w:rsidRPr="00540CA9">
        <w:rPr>
          <w:b/>
        </w:rPr>
        <w:t>znalost ISA 250</w:t>
      </w:r>
    </w:p>
    <w:p w:rsidR="00E717B4" w:rsidRPr="00896C78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>Komunikace s vedením účetní jednotky a s osobami pověřenými správou a řízením</w:t>
      </w:r>
      <w:r>
        <w:t xml:space="preserve"> - </w:t>
      </w:r>
      <w:r w:rsidRPr="00540CA9">
        <w:rPr>
          <w:b/>
        </w:rPr>
        <w:t>znalost ISA 260, ISA 265, ISA 580</w:t>
      </w:r>
    </w:p>
    <w:p w:rsidR="00E717B4" w:rsidRPr="00540CA9" w:rsidRDefault="00E717B4" w:rsidP="00E717B4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>
        <w:t xml:space="preserve">Strategie a plán auditu, vyhodnocení rizik a volba postupů v reakci na tato rizika - </w:t>
      </w:r>
      <w:r w:rsidRPr="00540CA9">
        <w:rPr>
          <w:b/>
        </w:rPr>
        <w:t>znalost ISA 300, ISA 315, ISA 330</w:t>
      </w:r>
    </w:p>
    <w:p w:rsidR="00E717B4" w:rsidRPr="00896C78" w:rsidRDefault="00E717B4" w:rsidP="00E717B4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20511E">
        <w:t>Audit v účetních jednotkách využívajících služeb servisní organizace</w:t>
      </w:r>
      <w:r>
        <w:t xml:space="preserve"> - </w:t>
      </w:r>
      <w:r w:rsidRPr="00540CA9">
        <w:rPr>
          <w:b/>
        </w:rPr>
        <w:t>znalost I</w:t>
      </w:r>
      <w:r w:rsidRPr="00896C78">
        <w:rPr>
          <w:b/>
        </w:rPr>
        <w:t>SA 402</w:t>
      </w:r>
    </w:p>
    <w:p w:rsidR="00E717B4" w:rsidRPr="0020511E" w:rsidRDefault="00E717B4" w:rsidP="00E717B4">
      <w:pPr>
        <w:numPr>
          <w:ilvl w:val="0"/>
          <w:numId w:val="3"/>
        </w:numPr>
        <w:spacing w:after="200" w:line="276" w:lineRule="auto"/>
        <w:jc w:val="both"/>
      </w:pPr>
      <w:r w:rsidRPr="0020511E">
        <w:t>Audit počátečních zůstatků a přístup ke srovnatelným informacím</w:t>
      </w:r>
      <w:r>
        <w:t xml:space="preserve"> - </w:t>
      </w:r>
      <w:r w:rsidRPr="00896C78">
        <w:rPr>
          <w:b/>
        </w:rPr>
        <w:t>znalost ISA 510, ISA 710</w:t>
      </w:r>
    </w:p>
    <w:p w:rsidR="00E717B4" w:rsidRPr="00896C78" w:rsidRDefault="00E717B4" w:rsidP="00E717B4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20511E">
        <w:t>Specifika auditu konsolidovaných účetních závěrek</w:t>
      </w:r>
      <w:r>
        <w:t xml:space="preserve"> – auditor skupiny, auditor složky, komunikace, odpovědnost, typy zakázek - </w:t>
      </w:r>
      <w:r>
        <w:rPr>
          <w:b/>
        </w:rPr>
        <w:t xml:space="preserve">znalost </w:t>
      </w:r>
      <w:r w:rsidRPr="001D626E">
        <w:rPr>
          <w:b/>
        </w:rPr>
        <w:t>ISA 600</w:t>
      </w:r>
    </w:p>
    <w:p w:rsidR="00E717B4" w:rsidRPr="00DB4516" w:rsidRDefault="00E717B4" w:rsidP="00E717B4">
      <w:pPr>
        <w:numPr>
          <w:ilvl w:val="0"/>
          <w:numId w:val="2"/>
        </w:numPr>
        <w:spacing w:after="200" w:line="276" w:lineRule="auto"/>
        <w:jc w:val="both"/>
        <w:rPr>
          <w:b/>
        </w:rPr>
      </w:pPr>
      <w:r w:rsidRPr="0020511E">
        <w:t>Funkce interního auditu, pochopení hlavních rozdílů a společných prvků externího a</w:t>
      </w:r>
      <w:r>
        <w:t> </w:t>
      </w:r>
      <w:r w:rsidRPr="0020511E">
        <w:t>interního auditu včetně významu spolupráce mezi externím a interním auditorem</w:t>
      </w:r>
      <w:r>
        <w:t xml:space="preserve"> -</w:t>
      </w:r>
      <w:r>
        <w:rPr>
          <w:b/>
        </w:rPr>
        <w:t xml:space="preserve"> znalost </w:t>
      </w:r>
      <w:r w:rsidRPr="00DB4516">
        <w:rPr>
          <w:b/>
        </w:rPr>
        <w:t>ISA 610</w:t>
      </w:r>
    </w:p>
    <w:p w:rsidR="00E717B4" w:rsidRPr="0020511E" w:rsidRDefault="00E717B4" w:rsidP="00E717B4">
      <w:pPr>
        <w:numPr>
          <w:ilvl w:val="0"/>
          <w:numId w:val="2"/>
        </w:numPr>
        <w:spacing w:after="200" w:line="276" w:lineRule="auto"/>
        <w:jc w:val="both"/>
      </w:pPr>
      <w:r w:rsidRPr="00693C8A">
        <w:t>Využití práce auditorova experta</w:t>
      </w:r>
      <w:r>
        <w:t xml:space="preserve"> </w:t>
      </w:r>
      <w:r>
        <w:rPr>
          <w:b/>
        </w:rPr>
        <w:t>znalost</w:t>
      </w:r>
      <w:r w:rsidRPr="006425BE">
        <w:rPr>
          <w:b/>
        </w:rPr>
        <w:t xml:space="preserve"> ISA 620</w:t>
      </w:r>
    </w:p>
    <w:p w:rsidR="00E717B4" w:rsidRPr="0020511E" w:rsidRDefault="00E717B4" w:rsidP="00E717B4">
      <w:pPr>
        <w:numPr>
          <w:ilvl w:val="0"/>
          <w:numId w:val="2"/>
        </w:numPr>
        <w:spacing w:after="200" w:line="276" w:lineRule="auto"/>
        <w:jc w:val="both"/>
      </w:pPr>
      <w:r w:rsidRPr="0020511E">
        <w:t>Zpráva auditora</w:t>
      </w:r>
      <w:r>
        <w:t xml:space="preserve"> v případě subjektu veřejného zájmu, klíčové záležitosti auditu, dodatečná zpráva pro výbor pro audit - </w:t>
      </w:r>
      <w:r>
        <w:rPr>
          <w:b/>
        </w:rPr>
        <w:t xml:space="preserve">znalost </w:t>
      </w:r>
      <w:r w:rsidRPr="00DB4516">
        <w:rPr>
          <w:b/>
        </w:rPr>
        <w:t>ISA 701</w:t>
      </w:r>
      <w:r>
        <w:t xml:space="preserve">, </w:t>
      </w:r>
      <w:r>
        <w:rPr>
          <w:b/>
        </w:rPr>
        <w:t xml:space="preserve">znalost </w:t>
      </w:r>
      <w:r w:rsidRPr="001D626E">
        <w:rPr>
          <w:b/>
        </w:rPr>
        <w:t xml:space="preserve">Nařízení Evropského </w:t>
      </w:r>
      <w:r w:rsidRPr="00540CA9">
        <w:rPr>
          <w:b/>
        </w:rPr>
        <w:t xml:space="preserve">parlamentu a Rady (EU) č.537/2014 </w:t>
      </w:r>
    </w:p>
    <w:p w:rsidR="00E717B4" w:rsidRPr="00101872" w:rsidRDefault="00E717B4" w:rsidP="00E717B4">
      <w:pPr>
        <w:numPr>
          <w:ilvl w:val="0"/>
          <w:numId w:val="2"/>
        </w:numPr>
        <w:spacing w:after="200" w:line="276" w:lineRule="auto"/>
        <w:jc w:val="both"/>
      </w:pPr>
      <w:r w:rsidRPr="0020511E">
        <w:lastRenderedPageBreak/>
        <w:t>Přezkoumání hospodaření a audit územních samosprávných celků</w:t>
      </w:r>
      <w:r>
        <w:t xml:space="preserve"> - </w:t>
      </w:r>
      <w:r>
        <w:rPr>
          <w:b/>
        </w:rPr>
        <w:t>znalost</w:t>
      </w:r>
      <w:r>
        <w:t xml:space="preserve"> </w:t>
      </w:r>
      <w:r w:rsidRPr="00101872">
        <w:rPr>
          <w:b/>
        </w:rPr>
        <w:t>AS č.</w:t>
      </w:r>
      <w:r>
        <w:rPr>
          <w:b/>
        </w:rPr>
        <w:t xml:space="preserve"> </w:t>
      </w:r>
      <w:r w:rsidRPr="00101872">
        <w:rPr>
          <w:b/>
        </w:rPr>
        <w:t>52</w:t>
      </w:r>
    </w:p>
    <w:p w:rsidR="00E717B4" w:rsidRDefault="00E717B4" w:rsidP="00E717B4">
      <w:pPr>
        <w:numPr>
          <w:ilvl w:val="0"/>
          <w:numId w:val="2"/>
        </w:numPr>
        <w:spacing w:after="200" w:line="276" w:lineRule="auto"/>
        <w:jc w:val="both"/>
      </w:pPr>
      <w:r w:rsidRPr="0020511E">
        <w:t>Postup auditorů při zamezování legalizace výnosů z trestné činnosti a financování terorismu</w:t>
      </w:r>
      <w:r>
        <w:t xml:space="preserve"> - </w:t>
      </w:r>
      <w:r w:rsidRPr="00540CA9">
        <w:rPr>
          <w:b/>
        </w:rPr>
        <w:t>znalost zákona i metodické pomůcky AML</w:t>
      </w:r>
    </w:p>
    <w:p w:rsidR="00E717B4" w:rsidRPr="0020511E" w:rsidRDefault="00E717B4" w:rsidP="00E717B4">
      <w:pPr>
        <w:numPr>
          <w:ilvl w:val="0"/>
          <w:numId w:val="2"/>
        </w:numPr>
        <w:spacing w:after="200" w:line="276" w:lineRule="auto"/>
        <w:jc w:val="both"/>
      </w:pPr>
      <w:r w:rsidRPr="0020511E">
        <w:t xml:space="preserve">Specifika auditu neziskových organizací, státních podniků, příspěvkových organizací, organizačních složek státu, </w:t>
      </w:r>
      <w:r>
        <w:t xml:space="preserve">obecně prospěšných společností, </w:t>
      </w:r>
      <w:r w:rsidRPr="0020511E">
        <w:t>zemědělských podniků a</w:t>
      </w:r>
      <w:r>
        <w:t> </w:t>
      </w:r>
      <w:r w:rsidRPr="0020511E">
        <w:t>finančních institucí</w:t>
      </w:r>
      <w:r>
        <w:t xml:space="preserve"> </w:t>
      </w:r>
    </w:p>
    <w:p w:rsidR="00E717B4" w:rsidRPr="0020511E" w:rsidRDefault="00E717B4" w:rsidP="00E717B4">
      <w:pPr>
        <w:numPr>
          <w:ilvl w:val="0"/>
          <w:numId w:val="2"/>
        </w:numPr>
        <w:spacing w:after="200" w:line="276" w:lineRule="auto"/>
        <w:jc w:val="both"/>
      </w:pPr>
      <w:r w:rsidRPr="0020511E">
        <w:t>Audit přeměn obchodních společností</w:t>
      </w:r>
      <w:r>
        <w:t xml:space="preserve"> </w:t>
      </w:r>
    </w:p>
    <w:p w:rsidR="00E717B4" w:rsidRDefault="00E717B4" w:rsidP="00E717B4">
      <w:pPr>
        <w:pStyle w:val="Nadpis3"/>
      </w:pPr>
      <w:bookmarkStart w:id="3" w:name="_Toc485715400"/>
      <w:r w:rsidRPr="00895B3D">
        <w:t>Literatura</w:t>
      </w:r>
      <w:bookmarkEnd w:id="3"/>
    </w:p>
    <w:p w:rsidR="00E717B4" w:rsidRPr="00F827FA" w:rsidRDefault="00E717B4" w:rsidP="00E717B4">
      <w:pPr>
        <w:pStyle w:val="Nadpis4"/>
        <w:numPr>
          <w:ilvl w:val="3"/>
          <w:numId w:val="1"/>
        </w:numPr>
      </w:pPr>
      <w:r>
        <w:t xml:space="preserve"> Povinná:</w:t>
      </w:r>
    </w:p>
    <w:p w:rsidR="00E717B4" w:rsidRDefault="00E717B4" w:rsidP="00E717B4">
      <w:pPr>
        <w:numPr>
          <w:ilvl w:val="0"/>
          <w:numId w:val="5"/>
        </w:numPr>
        <w:jc w:val="both"/>
      </w:pPr>
      <w:r w:rsidRPr="007E5A4D">
        <w:t>Příručka k uplatňování mezinárodních auditorských standardů při auditu účetních závěrek malých a středních podniků</w:t>
      </w:r>
      <w:r>
        <w:t xml:space="preserve"> (poslední vydání)</w:t>
      </w:r>
    </w:p>
    <w:p w:rsidR="00E717B4" w:rsidRDefault="00E717B4" w:rsidP="00E717B4">
      <w:pPr>
        <w:numPr>
          <w:ilvl w:val="0"/>
          <w:numId w:val="5"/>
        </w:numPr>
        <w:jc w:val="both"/>
      </w:pPr>
      <w:r>
        <w:t>Příručka k řízení kvality pro malé a střední účetní a auditorské praxe</w:t>
      </w:r>
    </w:p>
    <w:p w:rsidR="00E717B4" w:rsidRDefault="00E717B4" w:rsidP="00E717B4">
      <w:pPr>
        <w:numPr>
          <w:ilvl w:val="0"/>
          <w:numId w:val="5"/>
        </w:numPr>
        <w:jc w:val="both"/>
      </w:pPr>
      <w:r>
        <w:t xml:space="preserve">Metodická pomůcka Postup auditorů při zamezování legalizace výnosů z trestné činnosti a financování terorismu (poslední </w:t>
      </w:r>
      <w:proofErr w:type="gramStart"/>
      <w:r>
        <w:t>vydání )</w:t>
      </w:r>
      <w:proofErr w:type="gramEnd"/>
    </w:p>
    <w:p w:rsidR="00E717B4" w:rsidRPr="00383B79" w:rsidRDefault="00E717B4" w:rsidP="00E717B4">
      <w:pPr>
        <w:numPr>
          <w:ilvl w:val="0"/>
          <w:numId w:val="5"/>
        </w:numPr>
        <w:jc w:val="both"/>
      </w:pPr>
      <w:r w:rsidRPr="00383B79">
        <w:t>Časopis Auditor</w:t>
      </w:r>
    </w:p>
    <w:p w:rsidR="00E717B4" w:rsidRDefault="00E717B4" w:rsidP="00E717B4">
      <w:pPr>
        <w:numPr>
          <w:ilvl w:val="0"/>
          <w:numId w:val="5"/>
        </w:numPr>
        <w:jc w:val="both"/>
      </w:pPr>
      <w:r w:rsidRPr="00383B79">
        <w:t>Internetové stránky KA ČR</w:t>
      </w:r>
    </w:p>
    <w:p w:rsidR="00E717B4" w:rsidRPr="00383B79" w:rsidRDefault="00E717B4" w:rsidP="00E717B4">
      <w:pPr>
        <w:ind w:left="360"/>
      </w:pPr>
    </w:p>
    <w:p w:rsidR="00E717B4" w:rsidRPr="00895B3D" w:rsidRDefault="00E717B4" w:rsidP="00E717B4">
      <w:pPr>
        <w:pStyle w:val="Nadpis4"/>
        <w:numPr>
          <w:ilvl w:val="3"/>
          <w:numId w:val="1"/>
        </w:numPr>
      </w:pPr>
      <w:r>
        <w:t xml:space="preserve"> </w:t>
      </w:r>
      <w:r w:rsidRPr="00895B3D">
        <w:t>Předpisy</w:t>
      </w:r>
      <w:r>
        <w:t xml:space="preserve"> </w:t>
      </w:r>
    </w:p>
    <w:p w:rsidR="00E717B4" w:rsidRPr="00E04E93" w:rsidRDefault="00E717B4" w:rsidP="00E717B4">
      <w:pPr>
        <w:numPr>
          <w:ilvl w:val="0"/>
          <w:numId w:val="6"/>
        </w:numPr>
        <w:jc w:val="both"/>
      </w:pPr>
      <w:r w:rsidRPr="00E04E93">
        <w:t>Zákon č. 93/2009 Sb., o auditorech</w:t>
      </w:r>
    </w:p>
    <w:p w:rsidR="00E717B4" w:rsidRPr="00453946" w:rsidRDefault="00E717B4" w:rsidP="00E717B4">
      <w:pPr>
        <w:numPr>
          <w:ilvl w:val="0"/>
          <w:numId w:val="6"/>
        </w:numPr>
        <w:jc w:val="both"/>
      </w:pPr>
      <w:r>
        <w:t>Mezinárodní předpisy v oblasti řízení kvality, auditu, prověrek, ostatních ověřovacích zakázek a souvisejících služeb, poslední vydání</w:t>
      </w:r>
    </w:p>
    <w:p w:rsidR="00E717B4" w:rsidRDefault="00E717B4" w:rsidP="00E717B4">
      <w:pPr>
        <w:numPr>
          <w:ilvl w:val="0"/>
          <w:numId w:val="6"/>
        </w:numPr>
        <w:jc w:val="both"/>
      </w:pPr>
      <w:r w:rsidRPr="00E04E93">
        <w:t xml:space="preserve">Auditorský standard č. 52 Přezkoumání hospodaření a audit účetní závěrky územních samosprávných </w:t>
      </w:r>
      <w:proofErr w:type="gramStart"/>
      <w:r w:rsidRPr="00E04E93">
        <w:t>celků</w:t>
      </w:r>
      <w:r>
        <w:t>,  v platném</w:t>
      </w:r>
      <w:proofErr w:type="gramEnd"/>
      <w:r>
        <w:t xml:space="preserve"> znění</w:t>
      </w:r>
    </w:p>
    <w:p w:rsidR="00E717B4" w:rsidRPr="00E04E93" w:rsidRDefault="00E717B4" w:rsidP="00E717B4">
      <w:pPr>
        <w:numPr>
          <w:ilvl w:val="0"/>
          <w:numId w:val="6"/>
        </w:numPr>
        <w:jc w:val="both"/>
      </w:pPr>
      <w:r>
        <w:t>Auditorský standard č. 56 Ověřování zprávy o vztazích mezi propojenými osobami</w:t>
      </w:r>
    </w:p>
    <w:p w:rsidR="00E717B4" w:rsidRDefault="00E717B4" w:rsidP="00E717B4">
      <w:pPr>
        <w:numPr>
          <w:ilvl w:val="0"/>
          <w:numId w:val="6"/>
        </w:numPr>
        <w:jc w:val="both"/>
      </w:pPr>
      <w:r>
        <w:t>Aplikační doložky vydané KA ČR</w:t>
      </w:r>
    </w:p>
    <w:p w:rsidR="00E717B4" w:rsidRPr="00E04E93" w:rsidRDefault="00E717B4" w:rsidP="00E717B4">
      <w:pPr>
        <w:numPr>
          <w:ilvl w:val="0"/>
          <w:numId w:val="6"/>
        </w:numPr>
        <w:jc w:val="both"/>
      </w:pPr>
      <w:r w:rsidRPr="00E04E93">
        <w:t>Zákon č. 563/1991 Sb., o účetnictví a navazující prováděcí vyhlášky</w:t>
      </w:r>
    </w:p>
    <w:p w:rsidR="00E717B4" w:rsidRPr="00E04E93" w:rsidRDefault="00E717B4" w:rsidP="00E717B4">
      <w:pPr>
        <w:numPr>
          <w:ilvl w:val="0"/>
          <w:numId w:val="6"/>
        </w:numPr>
        <w:jc w:val="both"/>
      </w:pPr>
      <w:r w:rsidRPr="00E04E93">
        <w:t>Zákon č. 420/2004 Sb., o přezkoumání hospodaření územních samosprávných celků a</w:t>
      </w:r>
      <w:r>
        <w:t> </w:t>
      </w:r>
      <w:r w:rsidRPr="00E04E93">
        <w:t>dobrovolných svazků obcí</w:t>
      </w:r>
    </w:p>
    <w:p w:rsidR="00E717B4" w:rsidRPr="00E04E93" w:rsidRDefault="00E717B4" w:rsidP="00E717B4">
      <w:pPr>
        <w:numPr>
          <w:ilvl w:val="0"/>
          <w:numId w:val="6"/>
        </w:numPr>
        <w:jc w:val="both"/>
      </w:pPr>
      <w:r w:rsidRPr="00E04E93">
        <w:t>Zákon č. 253/2008 Sb., o některých opatřeních proti legalizaci výnosů z trestné činnosti a financování terorismu</w:t>
      </w:r>
    </w:p>
    <w:p w:rsidR="00E717B4" w:rsidRDefault="00E717B4" w:rsidP="00E717B4">
      <w:pPr>
        <w:numPr>
          <w:ilvl w:val="0"/>
          <w:numId w:val="6"/>
        </w:numPr>
        <w:jc w:val="both"/>
      </w:pPr>
      <w:r>
        <w:t>Zákon č. 125/2008 Sb., o přeměnách obchodních společností a družstev</w:t>
      </w:r>
    </w:p>
    <w:p w:rsidR="00E717B4" w:rsidRDefault="00E717B4" w:rsidP="00E717B4">
      <w:pPr>
        <w:numPr>
          <w:ilvl w:val="0"/>
          <w:numId w:val="6"/>
        </w:numPr>
        <w:jc w:val="both"/>
      </w:pPr>
      <w:r w:rsidRPr="00E04E93">
        <w:t>Vnitřní předpisy KA ČR</w:t>
      </w:r>
    </w:p>
    <w:p w:rsidR="00E717B4" w:rsidRPr="00E04E93" w:rsidRDefault="00E717B4" w:rsidP="00E717B4">
      <w:pPr>
        <w:numPr>
          <w:ilvl w:val="0"/>
          <w:numId w:val="6"/>
        </w:numPr>
        <w:jc w:val="both"/>
      </w:pPr>
      <w:r w:rsidRPr="00E04E93">
        <w:t xml:space="preserve">Etický kodex </w:t>
      </w:r>
      <w:r>
        <w:t>pro auditory a účetní znalce, přijatý KA ČR</w:t>
      </w:r>
    </w:p>
    <w:p w:rsidR="00E717B4" w:rsidRPr="00895B3D" w:rsidRDefault="00E717B4" w:rsidP="00E717B4">
      <w:pPr>
        <w:pStyle w:val="Nadpis3"/>
        <w:tabs>
          <w:tab w:val="clear" w:pos="720"/>
          <w:tab w:val="num" w:pos="900"/>
        </w:tabs>
        <w:ind w:left="900"/>
      </w:pPr>
      <w:r>
        <w:t xml:space="preserve"> </w:t>
      </w:r>
      <w:bookmarkStart w:id="4" w:name="_Toc485715401"/>
      <w:r w:rsidRPr="00895B3D">
        <w:t>Pomůcky u zkoušky</w:t>
      </w:r>
      <w:bookmarkEnd w:id="4"/>
    </w:p>
    <w:p w:rsidR="00E717B4" w:rsidRDefault="00E717B4" w:rsidP="00E717B4">
      <w:pPr>
        <w:jc w:val="both"/>
      </w:pPr>
      <w:r w:rsidRPr="002E43BF">
        <w:t xml:space="preserve">U </w:t>
      </w:r>
      <w:r w:rsidRPr="00B20D71">
        <w:rPr>
          <w:b/>
        </w:rPr>
        <w:t>první části</w:t>
      </w:r>
      <w:r>
        <w:t xml:space="preserve"> </w:t>
      </w:r>
      <w:r w:rsidRPr="002E43BF">
        <w:t xml:space="preserve">této zkoušky </w:t>
      </w:r>
      <w:r>
        <w:t xml:space="preserve">(viz „Průběh a podmínky zkoušky“ níže) </w:t>
      </w:r>
      <w:r w:rsidRPr="002E43BF">
        <w:t>nejsou povoleny žádné pomůcky</w:t>
      </w:r>
      <w:r>
        <w:t>.</w:t>
      </w:r>
    </w:p>
    <w:p w:rsidR="00E717B4" w:rsidRDefault="00E717B4" w:rsidP="00E717B4">
      <w:pPr>
        <w:jc w:val="both"/>
      </w:pPr>
    </w:p>
    <w:p w:rsidR="00E717B4" w:rsidRPr="00453946" w:rsidRDefault="00E717B4" w:rsidP="00E717B4">
      <w:pPr>
        <w:jc w:val="both"/>
      </w:pPr>
      <w:r>
        <w:t xml:space="preserve">U </w:t>
      </w:r>
      <w:r w:rsidRPr="00B20D71">
        <w:rPr>
          <w:b/>
        </w:rPr>
        <w:t>druhé části</w:t>
      </w:r>
      <w:r>
        <w:t xml:space="preserve"> této zkoušky jsou povoleny veškeré materiály uvedené výše v části „Předpisy“</w:t>
      </w:r>
    </w:p>
    <w:p w:rsidR="00E717B4" w:rsidRDefault="00E717B4" w:rsidP="00E717B4">
      <w:pPr>
        <w:jc w:val="both"/>
      </w:pPr>
    </w:p>
    <w:p w:rsidR="00E717B4" w:rsidRPr="00453946" w:rsidRDefault="00E717B4" w:rsidP="00E717B4">
      <w:pPr>
        <w:jc w:val="both"/>
      </w:pPr>
      <w:r>
        <w:lastRenderedPageBreak/>
        <w:t>Všechny pomůcky musí být výhradně v tištěné podobě, bez komentářů, poznámek a dalších vpisků. Zvýraznění tištěného textu barvami či podržením je přípustné.</w:t>
      </w:r>
    </w:p>
    <w:p w:rsidR="00E717B4" w:rsidRDefault="00E717B4" w:rsidP="00E717B4"/>
    <w:p w:rsidR="00E717B4" w:rsidRPr="00895B3D" w:rsidRDefault="00E717B4" w:rsidP="00E717B4">
      <w:pPr>
        <w:pStyle w:val="Nadpis3"/>
        <w:tabs>
          <w:tab w:val="clear" w:pos="720"/>
          <w:tab w:val="num" w:pos="900"/>
        </w:tabs>
        <w:ind w:left="900"/>
      </w:pPr>
      <w:r>
        <w:t xml:space="preserve"> </w:t>
      </w:r>
      <w:bookmarkStart w:id="5" w:name="_Toc485715402"/>
      <w:r w:rsidRPr="00895B3D">
        <w:t>Průběh a podmínky zkoušky</w:t>
      </w:r>
      <w:bookmarkEnd w:id="5"/>
    </w:p>
    <w:p w:rsidR="00E717B4" w:rsidRDefault="00E717B4" w:rsidP="00E717B4">
      <w:pPr>
        <w:jc w:val="both"/>
      </w:pPr>
      <w:r>
        <w:t>Zkouška se skládá ze dvou částí.</w:t>
      </w:r>
    </w:p>
    <w:p w:rsidR="00E717B4" w:rsidRDefault="00E717B4" w:rsidP="00E717B4">
      <w:pPr>
        <w:jc w:val="both"/>
      </w:pPr>
    </w:p>
    <w:p w:rsidR="00E717B4" w:rsidRPr="0064637E" w:rsidRDefault="00E717B4" w:rsidP="00E717B4">
      <w:pPr>
        <w:jc w:val="both"/>
        <w:rPr>
          <w:b/>
        </w:rPr>
      </w:pPr>
      <w:r w:rsidRPr="0064637E">
        <w:rPr>
          <w:b/>
        </w:rPr>
        <w:t>První část</w:t>
      </w:r>
    </w:p>
    <w:p w:rsidR="00E717B4" w:rsidRDefault="00E717B4" w:rsidP="00E717B4">
      <w:pPr>
        <w:numPr>
          <w:ilvl w:val="0"/>
          <w:numId w:val="4"/>
        </w:numPr>
        <w:spacing w:after="200" w:line="276" w:lineRule="auto"/>
        <w:jc w:val="both"/>
      </w:pPr>
      <w:r>
        <w:t>test – výběr jedné ze tří až čtyř možných odpovědí – 10 otázek, každá za 1 bod. Správná odpověď je hodnocena jedním bodem, za špatnou nebo žádnou odpověď uchazeč získává 0 bodů.</w:t>
      </w:r>
    </w:p>
    <w:p w:rsidR="00E717B4" w:rsidRDefault="00E717B4" w:rsidP="00E717B4">
      <w:pPr>
        <w:numPr>
          <w:ilvl w:val="0"/>
          <w:numId w:val="4"/>
        </w:numPr>
        <w:spacing w:after="200" w:line="276" w:lineRule="auto"/>
        <w:jc w:val="both"/>
      </w:pPr>
      <w:r>
        <w:t>potvrzení pravdivosti tvrzení – 10 tvrzení, každé za 1 bod. Správná odpověď je hodnocena jedním bodem, za žádnou odpověď uchazeč získává 0 bodů, špatná odpověď je hodnocena -1 bodem.</w:t>
      </w:r>
    </w:p>
    <w:p w:rsidR="00E717B4" w:rsidRDefault="00E717B4" w:rsidP="00E717B4">
      <w:pPr>
        <w:numPr>
          <w:ilvl w:val="0"/>
          <w:numId w:val="4"/>
        </w:numPr>
        <w:spacing w:after="200" w:line="276" w:lineRule="auto"/>
        <w:jc w:val="both"/>
      </w:pPr>
      <w:r>
        <w:t>Odpovědi na dotazy, vysvětlení, řešení příkladu či kratší případové studie. Za tuto část lze získat maximálně 20 bodů celkem.</w:t>
      </w:r>
    </w:p>
    <w:p w:rsidR="00E717B4" w:rsidRDefault="00E717B4" w:rsidP="00E717B4"/>
    <w:p w:rsidR="00E717B4" w:rsidRPr="0064637E" w:rsidRDefault="00E717B4" w:rsidP="00E717B4">
      <w:pPr>
        <w:jc w:val="both"/>
        <w:rPr>
          <w:b/>
        </w:rPr>
      </w:pPr>
      <w:r w:rsidRPr="0064637E">
        <w:rPr>
          <w:b/>
        </w:rPr>
        <w:t>Druhá část</w:t>
      </w:r>
    </w:p>
    <w:p w:rsidR="00E717B4" w:rsidRDefault="00E717B4" w:rsidP="00E717B4">
      <w:pPr>
        <w:numPr>
          <w:ilvl w:val="0"/>
          <w:numId w:val="4"/>
        </w:numPr>
        <w:spacing w:after="200" w:line="276" w:lineRule="auto"/>
        <w:jc w:val="both"/>
      </w:pPr>
      <w:r>
        <w:t>případové studie,</w:t>
      </w:r>
      <w:r w:rsidRPr="002201D8">
        <w:t xml:space="preserve"> </w:t>
      </w:r>
      <w:r>
        <w:t xml:space="preserve">přičemž součástí každé případové studie je několik samostatně hodnocených otázek. Maximálně lze získat za správně vyřešené případové studie 60 bodů. </w:t>
      </w:r>
    </w:p>
    <w:p w:rsidR="00E717B4" w:rsidRPr="0036255D" w:rsidRDefault="00E717B4" w:rsidP="00E717B4">
      <w:pPr>
        <w:jc w:val="both"/>
      </w:pPr>
      <w:r>
        <w:t xml:space="preserve">Zkouška může trvat 2 – 6 hodin, přičemž první část trvá 1- 2 hodiny a druhá část 1 - 5 hodin. Po vypracování a odevzdání první části následuje krátká přestávka, po které bude rozdáno zadání druhé části. Maximálně lze z této zkoušky získat 100 bodů. </w:t>
      </w:r>
    </w:p>
    <w:p w:rsidR="00937B10" w:rsidRDefault="00E717B4">
      <w:bookmarkStart w:id="6" w:name="_GoBack"/>
      <w:bookmarkEnd w:id="6"/>
    </w:p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FFF"/>
    <w:multiLevelType w:val="hybridMultilevel"/>
    <w:tmpl w:val="22208CB2"/>
    <w:lvl w:ilvl="0" w:tplc="04050017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C11961"/>
    <w:multiLevelType w:val="hybridMultilevel"/>
    <w:tmpl w:val="7A70868C"/>
    <w:lvl w:ilvl="0" w:tplc="D832A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31A0"/>
    <w:multiLevelType w:val="hybridMultilevel"/>
    <w:tmpl w:val="FB98A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B7417"/>
    <w:multiLevelType w:val="hybridMultilevel"/>
    <w:tmpl w:val="22208CB2"/>
    <w:lvl w:ilvl="0" w:tplc="04050017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5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5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5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5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5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5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46823C9"/>
    <w:multiLevelType w:val="hybridMultilevel"/>
    <w:tmpl w:val="7AD0009E"/>
    <w:lvl w:ilvl="0" w:tplc="94DA0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4"/>
    <w:rsid w:val="00354E99"/>
    <w:rsid w:val="00BB5875"/>
    <w:rsid w:val="00E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E717B4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E717B4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E717B4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E717B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E717B4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E717B4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E717B4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E717B4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E717B4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E717B4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E717B4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E717B4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717B4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E717B4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E717B4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E717B4"/>
    <w:rPr>
      <w:rFonts w:ascii="Arial Black" w:eastAsia="Times New Roman" w:hAnsi="Arial Black" w:cs="Times New Roman"/>
      <w:color w:val="000000"/>
      <w:sz w:val="7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7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E717B4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E717B4"/>
    <w:pPr>
      <w:keepNext/>
      <w:numPr>
        <w:ilvl w:val="2"/>
        <w:numId w:val="1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E717B4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E717B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E717B4"/>
    <w:pPr>
      <w:keepNext/>
      <w:numPr>
        <w:ilvl w:val="5"/>
        <w:numId w:val="1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E717B4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E717B4"/>
    <w:pPr>
      <w:keepNext/>
      <w:numPr>
        <w:ilvl w:val="7"/>
        <w:numId w:val="1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E717B4"/>
    <w:pPr>
      <w:keepNext/>
      <w:numPr>
        <w:ilvl w:val="8"/>
        <w:numId w:val="1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E717B4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E717B4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E717B4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E717B4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717B4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E717B4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E717B4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E717B4"/>
    <w:rPr>
      <w:rFonts w:ascii="Arial Black" w:eastAsia="Times New Roman" w:hAnsi="Arial Black" w:cs="Times New Roman"/>
      <w:color w:val="000000"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1</cp:revision>
  <dcterms:created xsi:type="dcterms:W3CDTF">2020-03-18T08:43:00Z</dcterms:created>
  <dcterms:modified xsi:type="dcterms:W3CDTF">2020-03-18T08:44:00Z</dcterms:modified>
</cp:coreProperties>
</file>