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B8A" w:rsidRPr="000509D2" w:rsidRDefault="00326B8A" w:rsidP="0000539F">
      <w:pPr>
        <w:spacing w:after="0" w:line="240" w:lineRule="auto"/>
        <w:jc w:val="both"/>
        <w:outlineLvl w:val="0"/>
        <w:rPr>
          <w:rFonts w:ascii="Times New Roman" w:hAnsi="Times New Roman"/>
          <w:b/>
          <w:bCs/>
          <w:sz w:val="24"/>
          <w:szCs w:val="24"/>
          <w:lang w:eastAsia="cs-CZ"/>
        </w:rPr>
      </w:pPr>
      <w:r w:rsidRPr="000509D2">
        <w:rPr>
          <w:rFonts w:ascii="Times New Roman" w:hAnsi="Times New Roman"/>
          <w:b/>
          <w:caps/>
          <w:sz w:val="24"/>
          <w:szCs w:val="24"/>
          <w:lang w:eastAsia="cs-CZ"/>
        </w:rPr>
        <w:t>Vypořádání připomínek k materiálu s názvem:</w:t>
      </w:r>
      <w:r w:rsidRPr="000509D2">
        <w:rPr>
          <w:rFonts w:ascii="Times New Roman" w:hAnsi="Times New Roman"/>
          <w:b/>
          <w:bCs/>
          <w:sz w:val="24"/>
          <w:szCs w:val="24"/>
          <w:lang w:eastAsia="cs-CZ"/>
        </w:rPr>
        <w:t xml:space="preserve"> </w:t>
      </w:r>
      <w:r w:rsidRPr="000509D2">
        <w:rPr>
          <w:rFonts w:ascii="Times New Roman" w:hAnsi="Times New Roman"/>
          <w:b/>
          <w:bCs/>
          <w:sz w:val="24"/>
          <w:szCs w:val="24"/>
          <w:lang w:eastAsia="cs-CZ"/>
        </w:rPr>
        <w:tab/>
      </w:r>
      <w:r w:rsidRPr="000509D2">
        <w:rPr>
          <w:rFonts w:ascii="Times New Roman" w:hAnsi="Times New Roman"/>
          <w:b/>
          <w:bCs/>
          <w:sz w:val="24"/>
          <w:szCs w:val="24"/>
          <w:lang w:eastAsia="cs-CZ"/>
        </w:rPr>
        <w:tab/>
      </w:r>
      <w:r w:rsidR="001D5C2C" w:rsidRPr="000509D2">
        <w:rPr>
          <w:rFonts w:ascii="Times New Roman" w:hAnsi="Times New Roman"/>
          <w:b/>
          <w:bCs/>
          <w:sz w:val="24"/>
          <w:szCs w:val="24"/>
          <w:lang w:eastAsia="cs-CZ"/>
        </w:rPr>
        <w:tab/>
      </w:r>
      <w:r w:rsidR="001D5C2C" w:rsidRPr="000509D2">
        <w:rPr>
          <w:rFonts w:ascii="Times New Roman" w:hAnsi="Times New Roman"/>
          <w:b/>
          <w:bCs/>
          <w:sz w:val="24"/>
          <w:szCs w:val="24"/>
          <w:lang w:eastAsia="cs-CZ"/>
        </w:rPr>
        <w:tab/>
      </w:r>
      <w:r w:rsidR="001D5C2C" w:rsidRPr="000509D2">
        <w:rPr>
          <w:rFonts w:ascii="Times New Roman" w:hAnsi="Times New Roman"/>
          <w:b/>
          <w:bCs/>
          <w:sz w:val="24"/>
          <w:szCs w:val="24"/>
          <w:lang w:eastAsia="cs-CZ"/>
        </w:rPr>
        <w:tab/>
      </w:r>
      <w:r w:rsidR="001D5C2C" w:rsidRPr="000509D2">
        <w:rPr>
          <w:rFonts w:ascii="Times New Roman" w:hAnsi="Times New Roman"/>
          <w:b/>
          <w:bCs/>
          <w:sz w:val="24"/>
          <w:szCs w:val="24"/>
          <w:lang w:eastAsia="cs-CZ"/>
        </w:rPr>
        <w:tab/>
      </w:r>
      <w:r w:rsidR="001D5C2C" w:rsidRPr="000509D2">
        <w:rPr>
          <w:rFonts w:ascii="Times New Roman" w:hAnsi="Times New Roman"/>
          <w:b/>
          <w:bCs/>
          <w:sz w:val="24"/>
          <w:szCs w:val="24"/>
          <w:lang w:eastAsia="cs-CZ"/>
        </w:rPr>
        <w:tab/>
        <w:t xml:space="preserve">           </w:t>
      </w:r>
      <w:r w:rsidR="001D5C2C" w:rsidRPr="000509D2">
        <w:rPr>
          <w:rFonts w:ascii="Times New Roman" w:hAnsi="Times New Roman"/>
          <w:b/>
          <w:bCs/>
          <w:sz w:val="24"/>
          <w:szCs w:val="24"/>
          <w:lang w:eastAsia="cs-CZ"/>
        </w:rPr>
        <w:tab/>
      </w:r>
      <w:r w:rsidR="001D5C2C" w:rsidRPr="000509D2">
        <w:rPr>
          <w:rFonts w:ascii="Times New Roman" w:hAnsi="Times New Roman"/>
          <w:b/>
          <w:bCs/>
          <w:sz w:val="24"/>
          <w:szCs w:val="24"/>
          <w:lang w:eastAsia="cs-CZ"/>
        </w:rPr>
        <w:tab/>
      </w:r>
      <w:r w:rsidR="001D5C2C" w:rsidRPr="000509D2">
        <w:rPr>
          <w:rFonts w:ascii="Times New Roman" w:hAnsi="Times New Roman"/>
          <w:b/>
          <w:bCs/>
          <w:sz w:val="24"/>
          <w:szCs w:val="24"/>
          <w:lang w:eastAsia="cs-CZ"/>
        </w:rPr>
        <w:tab/>
        <w:t xml:space="preserve">   </w:t>
      </w:r>
      <w:r w:rsidRPr="000509D2">
        <w:rPr>
          <w:rFonts w:ascii="Times New Roman" w:hAnsi="Times New Roman"/>
          <w:b/>
          <w:sz w:val="24"/>
          <w:szCs w:val="24"/>
          <w:lang w:eastAsia="cs-CZ"/>
        </w:rPr>
        <w:t>IV.</w:t>
      </w:r>
    </w:p>
    <w:p w:rsidR="00326B8A" w:rsidRPr="000509D2" w:rsidRDefault="00326B8A" w:rsidP="0000539F">
      <w:pPr>
        <w:spacing w:after="0" w:line="240" w:lineRule="auto"/>
        <w:jc w:val="both"/>
        <w:rPr>
          <w:rFonts w:ascii="Times New Roman" w:hAnsi="Times New Roman"/>
          <w:b/>
          <w:sz w:val="24"/>
          <w:szCs w:val="24"/>
          <w:lang w:eastAsia="cs-CZ"/>
        </w:rPr>
      </w:pPr>
    </w:p>
    <w:p w:rsidR="00326B8A" w:rsidRPr="000509D2" w:rsidRDefault="00326B8A" w:rsidP="0000539F">
      <w:pPr>
        <w:autoSpaceDE w:val="0"/>
        <w:autoSpaceDN w:val="0"/>
        <w:adjustRightInd w:val="0"/>
        <w:spacing w:after="0" w:line="240" w:lineRule="auto"/>
        <w:jc w:val="both"/>
        <w:rPr>
          <w:rFonts w:ascii="Times New Roman" w:hAnsi="Times New Roman"/>
          <w:b/>
          <w:bCs/>
          <w:sz w:val="24"/>
          <w:szCs w:val="24"/>
          <w:lang w:eastAsia="cs-CZ"/>
        </w:rPr>
      </w:pPr>
      <w:r w:rsidRPr="000509D2">
        <w:rPr>
          <w:rFonts w:ascii="Times New Roman" w:hAnsi="Times New Roman"/>
          <w:b/>
          <w:bCs/>
          <w:sz w:val="24"/>
          <w:szCs w:val="24"/>
          <w:lang w:eastAsia="cs-CZ"/>
        </w:rPr>
        <w:t>Návrh vyhlášky, kterou se mění vyhláška č. 50</w:t>
      </w:r>
      <w:r w:rsidR="00851C3F">
        <w:rPr>
          <w:rFonts w:ascii="Times New Roman" w:hAnsi="Times New Roman"/>
          <w:b/>
          <w:bCs/>
          <w:sz w:val="24"/>
          <w:szCs w:val="24"/>
          <w:lang w:eastAsia="cs-CZ"/>
        </w:rPr>
        <w:t>0</w:t>
      </w:r>
      <w:r w:rsidRPr="000509D2">
        <w:rPr>
          <w:rFonts w:ascii="Times New Roman" w:hAnsi="Times New Roman"/>
          <w:b/>
          <w:bCs/>
          <w:sz w:val="24"/>
          <w:szCs w:val="24"/>
          <w:lang w:eastAsia="cs-CZ"/>
        </w:rPr>
        <w:t>/2002 Sb., kterou se provádějí některá ustanovení zákona č. 563/1991 Sb., o účetnictví, ve znění pozdějších předpisů, pro účetní jednotky,</w:t>
      </w:r>
      <w:r w:rsidRPr="000509D2">
        <w:rPr>
          <w:rFonts w:ascii="Times New Roman" w:hAnsi="Times New Roman"/>
          <w:b/>
          <w:sz w:val="24"/>
          <w:szCs w:val="24"/>
          <w:lang w:eastAsia="cs-CZ"/>
        </w:rPr>
        <w:t xml:space="preserve"> které jsou </w:t>
      </w:r>
      <w:r w:rsidR="00851C3F">
        <w:rPr>
          <w:rFonts w:ascii="Times New Roman" w:hAnsi="Times New Roman"/>
          <w:b/>
          <w:sz w:val="24"/>
          <w:szCs w:val="24"/>
          <w:lang w:eastAsia="cs-CZ"/>
        </w:rPr>
        <w:t xml:space="preserve">podnikateli účtujícími v soustavě podvojného účetnictví, </w:t>
      </w:r>
      <w:r w:rsidRPr="000509D2">
        <w:rPr>
          <w:rFonts w:ascii="Times New Roman" w:hAnsi="Times New Roman"/>
          <w:b/>
          <w:bCs/>
          <w:sz w:val="24"/>
          <w:szCs w:val="24"/>
          <w:lang w:eastAsia="cs-CZ"/>
        </w:rPr>
        <w:t>ve znění pozdějších předpisů</w:t>
      </w:r>
    </w:p>
    <w:p w:rsidR="00326B8A" w:rsidRPr="000509D2" w:rsidRDefault="00326B8A" w:rsidP="0000539F">
      <w:pPr>
        <w:spacing w:after="0" w:line="240" w:lineRule="auto"/>
        <w:jc w:val="both"/>
        <w:rPr>
          <w:rFonts w:ascii="Times New Roman" w:hAnsi="Times New Roman"/>
          <w:b/>
          <w:sz w:val="24"/>
          <w:szCs w:val="24"/>
          <w:lang w:eastAsia="cs-CZ"/>
        </w:rPr>
      </w:pPr>
    </w:p>
    <w:p w:rsidR="006979C8" w:rsidRPr="000509D2" w:rsidRDefault="006979C8" w:rsidP="006979C8">
      <w:pPr>
        <w:jc w:val="both"/>
        <w:rPr>
          <w:rFonts w:ascii="Times New Roman" w:hAnsi="Times New Roman"/>
          <w:sz w:val="24"/>
          <w:szCs w:val="24"/>
        </w:rPr>
      </w:pPr>
      <w:r w:rsidRPr="000509D2">
        <w:rPr>
          <w:rFonts w:ascii="Times New Roman" w:hAnsi="Times New Roman"/>
          <w:sz w:val="24"/>
          <w:szCs w:val="24"/>
        </w:rPr>
        <w:t xml:space="preserve">Dle Jednacího řádu vlády byl materiál rozeslán do meziresortního připomínkového řízení dopisem ministra financí dne </w:t>
      </w:r>
      <w:r w:rsidR="00D321A0">
        <w:rPr>
          <w:rFonts w:ascii="Times New Roman" w:hAnsi="Times New Roman"/>
          <w:sz w:val="24"/>
          <w:szCs w:val="24"/>
        </w:rPr>
        <w:t>24</w:t>
      </w:r>
      <w:r w:rsidRPr="000509D2">
        <w:rPr>
          <w:rFonts w:ascii="Times New Roman" w:hAnsi="Times New Roman"/>
          <w:sz w:val="24"/>
          <w:szCs w:val="24"/>
        </w:rPr>
        <w:t xml:space="preserve">. 8. 2017, s termínem dodání stanovisek do </w:t>
      </w:r>
      <w:r w:rsidR="00D321A0">
        <w:rPr>
          <w:rFonts w:ascii="Times New Roman" w:hAnsi="Times New Roman"/>
          <w:sz w:val="24"/>
          <w:szCs w:val="24"/>
        </w:rPr>
        <w:t>14</w:t>
      </w:r>
      <w:r w:rsidRPr="000509D2">
        <w:rPr>
          <w:rFonts w:ascii="Times New Roman" w:hAnsi="Times New Roman"/>
          <w:sz w:val="24"/>
          <w:szCs w:val="24"/>
        </w:rPr>
        <w:t xml:space="preserve">. </w:t>
      </w:r>
      <w:r w:rsidR="00D321A0">
        <w:rPr>
          <w:rFonts w:ascii="Times New Roman" w:hAnsi="Times New Roman"/>
          <w:sz w:val="24"/>
          <w:szCs w:val="24"/>
        </w:rPr>
        <w:t>9</w:t>
      </w:r>
      <w:r w:rsidRPr="000509D2">
        <w:rPr>
          <w:rFonts w:ascii="Times New Roman" w:hAnsi="Times New Roman"/>
          <w:sz w:val="24"/>
          <w:szCs w:val="24"/>
        </w:rPr>
        <w:t>. 2017. Vyhodnocení tohoto řízení je uvedeno v následující tabulce:</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571"/>
        <w:gridCol w:w="424"/>
        <w:gridCol w:w="3688"/>
        <w:gridCol w:w="3824"/>
        <w:gridCol w:w="4678"/>
      </w:tblGrid>
      <w:tr w:rsidR="00F531C1" w:rsidRPr="000509D2" w:rsidTr="00F531C1">
        <w:tc>
          <w:tcPr>
            <w:tcW w:w="338" w:type="pct"/>
            <w:vAlign w:val="center"/>
          </w:tcPr>
          <w:p w:rsidR="00F531C1" w:rsidRPr="000509D2" w:rsidRDefault="00F531C1" w:rsidP="006979C8">
            <w:pPr>
              <w:spacing w:after="0" w:line="240" w:lineRule="auto"/>
              <w:jc w:val="both"/>
              <w:rPr>
                <w:rFonts w:ascii="Times New Roman" w:hAnsi="Times New Roman"/>
                <w:sz w:val="24"/>
                <w:szCs w:val="24"/>
                <w:lang w:eastAsia="cs-CZ"/>
              </w:rPr>
            </w:pPr>
            <w:r w:rsidRPr="000509D2">
              <w:rPr>
                <w:rFonts w:ascii="Times New Roman" w:hAnsi="Times New Roman"/>
                <w:b/>
                <w:bCs/>
                <w:sz w:val="24"/>
                <w:szCs w:val="24"/>
                <w:lang w:eastAsia="cs-CZ"/>
              </w:rPr>
              <w:t xml:space="preserve">Připomínkové místo </w:t>
            </w:r>
          </w:p>
        </w:tc>
        <w:tc>
          <w:tcPr>
            <w:tcW w:w="202" w:type="pct"/>
            <w:vAlign w:val="center"/>
          </w:tcPr>
          <w:p w:rsidR="00F531C1" w:rsidRPr="000509D2" w:rsidRDefault="00F531C1" w:rsidP="0000539F">
            <w:pPr>
              <w:spacing w:after="0" w:line="240" w:lineRule="auto"/>
              <w:ind w:left="-28" w:right="-58" w:firstLine="15"/>
              <w:jc w:val="both"/>
              <w:rPr>
                <w:rFonts w:ascii="Times New Roman" w:hAnsi="Times New Roman"/>
                <w:b/>
                <w:bCs/>
                <w:sz w:val="24"/>
                <w:szCs w:val="24"/>
                <w:lang w:eastAsia="cs-CZ"/>
              </w:rPr>
            </w:pPr>
            <w:r w:rsidRPr="000509D2">
              <w:rPr>
                <w:rFonts w:ascii="Times New Roman" w:hAnsi="Times New Roman"/>
                <w:b/>
                <w:bCs/>
                <w:sz w:val="24"/>
                <w:szCs w:val="24"/>
                <w:lang w:eastAsia="cs-CZ"/>
              </w:rPr>
              <w:t>Č. př.</w:t>
            </w:r>
          </w:p>
        </w:tc>
        <w:tc>
          <w:tcPr>
            <w:tcW w:w="150" w:type="pct"/>
            <w:vAlign w:val="center"/>
          </w:tcPr>
          <w:p w:rsidR="00F531C1" w:rsidRPr="000509D2" w:rsidRDefault="00F531C1" w:rsidP="0000539F">
            <w:pPr>
              <w:spacing w:after="0" w:line="240" w:lineRule="auto"/>
              <w:jc w:val="both"/>
              <w:rPr>
                <w:rFonts w:ascii="Times New Roman" w:hAnsi="Times New Roman"/>
                <w:b/>
                <w:bCs/>
                <w:sz w:val="24"/>
                <w:szCs w:val="24"/>
                <w:lang w:eastAsia="cs-CZ"/>
              </w:rPr>
            </w:pPr>
            <w:r w:rsidRPr="000509D2">
              <w:rPr>
                <w:rFonts w:ascii="Times New Roman" w:hAnsi="Times New Roman"/>
                <w:b/>
                <w:bCs/>
                <w:sz w:val="24"/>
                <w:szCs w:val="24"/>
                <w:lang w:eastAsia="cs-CZ"/>
              </w:rPr>
              <w:t>Z/D</w:t>
            </w:r>
          </w:p>
        </w:tc>
        <w:tc>
          <w:tcPr>
            <w:tcW w:w="1304" w:type="pct"/>
            <w:vAlign w:val="center"/>
          </w:tcPr>
          <w:p w:rsidR="00F531C1" w:rsidRPr="000509D2" w:rsidRDefault="00F531C1" w:rsidP="0000539F">
            <w:pPr>
              <w:spacing w:after="0" w:line="240" w:lineRule="auto"/>
              <w:jc w:val="both"/>
              <w:rPr>
                <w:rFonts w:ascii="Times New Roman" w:hAnsi="Times New Roman"/>
                <w:sz w:val="24"/>
                <w:szCs w:val="24"/>
                <w:lang w:eastAsia="cs-CZ"/>
              </w:rPr>
            </w:pPr>
            <w:r w:rsidRPr="000509D2">
              <w:rPr>
                <w:rFonts w:ascii="Times New Roman" w:hAnsi="Times New Roman"/>
                <w:b/>
                <w:bCs/>
                <w:sz w:val="24"/>
                <w:szCs w:val="24"/>
                <w:lang w:eastAsia="cs-CZ"/>
              </w:rPr>
              <w:t>Připomínky</w:t>
            </w:r>
          </w:p>
        </w:tc>
        <w:tc>
          <w:tcPr>
            <w:tcW w:w="1352" w:type="pct"/>
            <w:vAlign w:val="center"/>
          </w:tcPr>
          <w:p w:rsidR="00F531C1" w:rsidRPr="000509D2" w:rsidRDefault="00F531C1" w:rsidP="0000539F">
            <w:pPr>
              <w:spacing w:after="0" w:line="240" w:lineRule="auto"/>
              <w:jc w:val="both"/>
              <w:rPr>
                <w:rFonts w:ascii="Times New Roman" w:hAnsi="Times New Roman"/>
                <w:sz w:val="24"/>
                <w:szCs w:val="24"/>
                <w:lang w:eastAsia="cs-CZ"/>
              </w:rPr>
            </w:pPr>
            <w:r w:rsidRPr="000509D2">
              <w:rPr>
                <w:rFonts w:ascii="Times New Roman" w:hAnsi="Times New Roman"/>
                <w:b/>
                <w:bCs/>
                <w:sz w:val="24"/>
                <w:szCs w:val="24"/>
                <w:lang w:eastAsia="cs-CZ"/>
              </w:rPr>
              <w:t>Vypořádání</w:t>
            </w:r>
          </w:p>
        </w:tc>
        <w:tc>
          <w:tcPr>
            <w:tcW w:w="1654" w:type="pct"/>
          </w:tcPr>
          <w:p w:rsidR="00F531C1" w:rsidRDefault="00F531C1" w:rsidP="0000539F">
            <w:pPr>
              <w:spacing w:after="0" w:line="240" w:lineRule="auto"/>
              <w:jc w:val="both"/>
              <w:rPr>
                <w:rFonts w:ascii="Times New Roman" w:hAnsi="Times New Roman"/>
                <w:b/>
                <w:bCs/>
                <w:sz w:val="24"/>
                <w:szCs w:val="24"/>
                <w:lang w:eastAsia="cs-CZ"/>
              </w:rPr>
            </w:pPr>
          </w:p>
          <w:p w:rsidR="00F531C1" w:rsidRPr="000509D2" w:rsidRDefault="00F531C1" w:rsidP="0000539F">
            <w:pPr>
              <w:spacing w:after="0" w:line="240" w:lineRule="auto"/>
              <w:jc w:val="both"/>
              <w:rPr>
                <w:rFonts w:ascii="Times New Roman" w:hAnsi="Times New Roman"/>
                <w:b/>
                <w:bCs/>
                <w:sz w:val="24"/>
                <w:szCs w:val="24"/>
                <w:lang w:eastAsia="cs-CZ"/>
              </w:rPr>
            </w:pPr>
            <w:r>
              <w:rPr>
                <w:rFonts w:ascii="Times New Roman" w:hAnsi="Times New Roman"/>
                <w:b/>
                <w:bCs/>
                <w:sz w:val="24"/>
                <w:szCs w:val="24"/>
                <w:lang w:eastAsia="cs-CZ"/>
              </w:rPr>
              <w:t>Reakce KA ČR na návrh vypořádání</w:t>
            </w:r>
          </w:p>
        </w:tc>
      </w:tr>
      <w:tr w:rsidR="00F531C1" w:rsidRPr="006D00D7" w:rsidTr="00F531C1">
        <w:tc>
          <w:tcPr>
            <w:tcW w:w="338" w:type="pct"/>
            <w:tcBorders>
              <w:top w:val="single" w:sz="4" w:space="0" w:color="auto"/>
              <w:left w:val="single" w:sz="4" w:space="0" w:color="auto"/>
              <w:bottom w:val="single" w:sz="4" w:space="0" w:color="auto"/>
              <w:right w:val="single" w:sz="4" w:space="0" w:color="auto"/>
            </w:tcBorders>
          </w:tcPr>
          <w:p w:rsidR="00F531C1" w:rsidRPr="000509D2" w:rsidRDefault="00F531C1" w:rsidP="00B2102B">
            <w:pPr>
              <w:spacing w:after="0"/>
              <w:jc w:val="both"/>
              <w:rPr>
                <w:rFonts w:ascii="Times New Roman" w:hAnsi="Times New Roman"/>
                <w:color w:val="000000"/>
                <w:sz w:val="24"/>
                <w:szCs w:val="24"/>
              </w:rPr>
            </w:pPr>
            <w:r>
              <w:rPr>
                <w:rFonts w:ascii="Times New Roman" w:hAnsi="Times New Roman"/>
                <w:color w:val="000000"/>
                <w:sz w:val="24"/>
                <w:szCs w:val="24"/>
              </w:rPr>
              <w:t>KAČR</w:t>
            </w:r>
          </w:p>
        </w:tc>
        <w:tc>
          <w:tcPr>
            <w:tcW w:w="202" w:type="pct"/>
            <w:tcBorders>
              <w:top w:val="single" w:sz="4" w:space="0" w:color="auto"/>
              <w:left w:val="single" w:sz="4" w:space="0" w:color="auto"/>
              <w:bottom w:val="single" w:sz="4" w:space="0" w:color="auto"/>
              <w:right w:val="single" w:sz="4" w:space="0" w:color="auto"/>
            </w:tcBorders>
          </w:tcPr>
          <w:p w:rsidR="00F531C1" w:rsidRPr="000509D2" w:rsidRDefault="00F531C1" w:rsidP="00B2102B">
            <w:pPr>
              <w:spacing w:after="0"/>
              <w:jc w:val="both"/>
              <w:rPr>
                <w:rFonts w:ascii="Times New Roman" w:hAnsi="Times New Roman"/>
                <w:color w:val="000000"/>
                <w:sz w:val="24"/>
                <w:szCs w:val="24"/>
              </w:rPr>
            </w:pPr>
          </w:p>
        </w:tc>
        <w:tc>
          <w:tcPr>
            <w:tcW w:w="150" w:type="pct"/>
            <w:tcBorders>
              <w:top w:val="single" w:sz="4" w:space="0" w:color="auto"/>
              <w:left w:val="single" w:sz="4" w:space="0" w:color="auto"/>
              <w:bottom w:val="single" w:sz="4" w:space="0" w:color="auto"/>
              <w:right w:val="single" w:sz="4" w:space="0" w:color="auto"/>
            </w:tcBorders>
          </w:tcPr>
          <w:p w:rsidR="00F531C1" w:rsidRPr="006B3C3D" w:rsidRDefault="00F531C1" w:rsidP="00B2102B">
            <w:pPr>
              <w:jc w:val="both"/>
              <w:rPr>
                <w:rFonts w:ascii="Times New Roman" w:hAnsi="Times New Roman"/>
                <w:color w:val="000000"/>
                <w:sz w:val="24"/>
                <w:szCs w:val="24"/>
              </w:rPr>
            </w:pPr>
            <w:r w:rsidRPr="006B3C3D">
              <w:rPr>
                <w:rFonts w:ascii="Times New Roman" w:hAnsi="Times New Roman"/>
                <w:color w:val="000000"/>
                <w:sz w:val="24"/>
                <w:szCs w:val="24"/>
              </w:rPr>
              <w:t>D</w:t>
            </w:r>
          </w:p>
        </w:tc>
        <w:tc>
          <w:tcPr>
            <w:tcW w:w="1304" w:type="pct"/>
            <w:tcBorders>
              <w:top w:val="single" w:sz="4" w:space="0" w:color="auto"/>
              <w:left w:val="single" w:sz="4" w:space="0" w:color="auto"/>
              <w:bottom w:val="single" w:sz="4" w:space="0" w:color="auto"/>
              <w:right w:val="single" w:sz="4" w:space="0" w:color="auto"/>
            </w:tcBorders>
          </w:tcPr>
          <w:p w:rsidR="00F531C1" w:rsidRPr="006B3C3D" w:rsidRDefault="00F531C1" w:rsidP="006B3C3D">
            <w:pPr>
              <w:spacing w:after="0"/>
              <w:jc w:val="both"/>
              <w:rPr>
                <w:rFonts w:ascii="Times New Roman" w:eastAsia="Times New Roman" w:hAnsi="Times New Roman"/>
                <w:sz w:val="24"/>
                <w:szCs w:val="24"/>
              </w:rPr>
            </w:pPr>
            <w:r w:rsidRPr="006B3C3D">
              <w:rPr>
                <w:rFonts w:ascii="Times New Roman" w:eastAsia="Times New Roman" w:hAnsi="Times New Roman"/>
                <w:sz w:val="24"/>
                <w:szCs w:val="24"/>
              </w:rPr>
              <w:t>Ustanovení § 3 odst. 3, § 13 vyhlášky</w:t>
            </w:r>
          </w:p>
          <w:p w:rsidR="00F531C1" w:rsidRPr="000509D2" w:rsidRDefault="00F531C1" w:rsidP="006B3C3D">
            <w:pPr>
              <w:spacing w:after="0"/>
              <w:jc w:val="both"/>
              <w:rPr>
                <w:rFonts w:ascii="Times New Roman" w:eastAsia="Times New Roman" w:hAnsi="Times New Roman"/>
                <w:sz w:val="24"/>
                <w:szCs w:val="24"/>
              </w:rPr>
            </w:pPr>
            <w:r w:rsidRPr="006B3C3D">
              <w:rPr>
                <w:rFonts w:ascii="Times New Roman" w:eastAsia="Times New Roman" w:hAnsi="Times New Roman"/>
                <w:sz w:val="24"/>
                <w:szCs w:val="24"/>
              </w:rPr>
              <w:t xml:space="preserve">Velmi vítáme variantní možnost vykazování časového rozlišení aktiv a pasiv v rozvaze, kterou připouští směrnice Evropského parlamentu a Rady 2013/34/EU ze dne 26. června 2013 o ročních účetních závěrkách, konsolidovaných účetních závěrkách a souvisejících zprávách některých forem podniků, o změně směrnice Evropského parlamentu a Rady 2066/43/ES a o zrušení směrnic Rady 78/660/EHS a 83/349/EHS (dále jen „směrnice“). Účetní jednotky si tak budou moci </w:t>
            </w:r>
            <w:r w:rsidRPr="006B3C3D">
              <w:rPr>
                <w:rFonts w:ascii="Times New Roman" w:eastAsia="Times New Roman" w:hAnsi="Times New Roman"/>
                <w:sz w:val="24"/>
                <w:szCs w:val="24"/>
              </w:rPr>
              <w:lastRenderedPageBreak/>
              <w:t>zvolit variantu, která více odpovídá jejich potřebám a bude vhodnějším způsobem reflektovat věrný a poctivý obraz vykazovaného předmětu účetnictví. V souvislosti s touto navrhovanou úpravou bychom však chtěli upozornit na další požadavek, který směrnice stanoví v příloze III této směrnice a který se týká vykazování položek „D.II. Pohledávky“ a „C. Závazky“ z této přílohy odděleně v částkách se zbytkovou dobou splatností do jednoho roku a se zbytkovou dobou splatnosti delší než jeden rok. Domníváme se, že by také tento požadavek měl být zohledněn v návrhu novely vyhlášky a měla by být upravena i související ustanovení § 10 a § 17 vyhlášky.</w:t>
            </w:r>
          </w:p>
        </w:tc>
        <w:tc>
          <w:tcPr>
            <w:tcW w:w="1352" w:type="pct"/>
            <w:tcBorders>
              <w:top w:val="single" w:sz="4" w:space="0" w:color="auto"/>
              <w:left w:val="single" w:sz="4" w:space="0" w:color="auto"/>
              <w:bottom w:val="single" w:sz="4" w:space="0" w:color="auto"/>
              <w:right w:val="single" w:sz="4" w:space="0" w:color="auto"/>
            </w:tcBorders>
          </w:tcPr>
          <w:p w:rsidR="00F531C1" w:rsidRDefault="00F531C1" w:rsidP="00364279">
            <w:pPr>
              <w:spacing w:after="0"/>
              <w:jc w:val="both"/>
              <w:rPr>
                <w:rFonts w:ascii="Times New Roman" w:hAnsi="Times New Roman"/>
                <w:b/>
                <w:color w:val="000000"/>
                <w:sz w:val="24"/>
                <w:szCs w:val="24"/>
              </w:rPr>
            </w:pPr>
            <w:r>
              <w:rPr>
                <w:rFonts w:ascii="Times New Roman" w:hAnsi="Times New Roman"/>
                <w:b/>
                <w:color w:val="000000"/>
                <w:sz w:val="24"/>
                <w:szCs w:val="24"/>
              </w:rPr>
              <w:lastRenderedPageBreak/>
              <w:t>Bere se na vědomí.</w:t>
            </w:r>
          </w:p>
          <w:p w:rsidR="00F531C1" w:rsidRDefault="00F531C1" w:rsidP="00364279">
            <w:pPr>
              <w:spacing w:after="0"/>
              <w:jc w:val="both"/>
              <w:rPr>
                <w:rFonts w:ascii="Times New Roman" w:hAnsi="Times New Roman"/>
                <w:b/>
                <w:color w:val="000000"/>
                <w:sz w:val="24"/>
                <w:szCs w:val="24"/>
              </w:rPr>
            </w:pPr>
            <w:r w:rsidRPr="006D00D7">
              <w:rPr>
                <w:rFonts w:ascii="Times New Roman" w:hAnsi="Times New Roman"/>
                <w:color w:val="000000"/>
                <w:sz w:val="24"/>
                <w:szCs w:val="24"/>
              </w:rPr>
              <w:t xml:space="preserve">Požadavek jde nad rámec navrhované novely. </w:t>
            </w:r>
            <w:r>
              <w:rPr>
                <w:rFonts w:ascii="Times New Roman" w:eastAsia="Times New Roman" w:hAnsi="Times New Roman"/>
                <w:sz w:val="24"/>
                <w:szCs w:val="24"/>
                <w:lang w:eastAsia="cs-CZ"/>
              </w:rPr>
              <w:t>Upozorňujeme na § 4 odst. 2 vyhlášky, kdy je umožněno položky členit na podpoložky, případně může účetní jednotka tuto skutečnost uvést v příloze v účetní závěrce.</w:t>
            </w:r>
          </w:p>
          <w:p w:rsidR="00F531C1" w:rsidRDefault="00F531C1" w:rsidP="00B2102B">
            <w:pPr>
              <w:spacing w:after="0"/>
              <w:jc w:val="both"/>
              <w:rPr>
                <w:rFonts w:ascii="Times New Roman" w:hAnsi="Times New Roman"/>
                <w:b/>
                <w:color w:val="000000"/>
                <w:sz w:val="24"/>
                <w:szCs w:val="24"/>
              </w:rPr>
            </w:pPr>
          </w:p>
          <w:p w:rsidR="00F531C1" w:rsidRDefault="00F531C1" w:rsidP="00B2102B">
            <w:pPr>
              <w:spacing w:after="0"/>
              <w:jc w:val="both"/>
              <w:rPr>
                <w:rFonts w:ascii="Times New Roman" w:hAnsi="Times New Roman"/>
                <w:b/>
                <w:color w:val="000000"/>
                <w:sz w:val="24"/>
                <w:szCs w:val="24"/>
              </w:rPr>
            </w:pPr>
          </w:p>
          <w:p w:rsidR="00F531C1" w:rsidRDefault="00F531C1" w:rsidP="00B2102B">
            <w:pPr>
              <w:spacing w:after="0"/>
              <w:jc w:val="both"/>
              <w:rPr>
                <w:rFonts w:ascii="Times New Roman" w:hAnsi="Times New Roman"/>
                <w:b/>
                <w:color w:val="000000"/>
                <w:sz w:val="24"/>
                <w:szCs w:val="24"/>
              </w:rPr>
            </w:pPr>
          </w:p>
          <w:p w:rsidR="00F531C1" w:rsidRDefault="00F531C1" w:rsidP="00B2102B">
            <w:pPr>
              <w:spacing w:after="0"/>
              <w:jc w:val="both"/>
              <w:rPr>
                <w:rFonts w:ascii="Times New Roman" w:hAnsi="Times New Roman"/>
                <w:b/>
                <w:color w:val="000000"/>
                <w:sz w:val="24"/>
                <w:szCs w:val="24"/>
              </w:rPr>
            </w:pPr>
          </w:p>
          <w:p w:rsidR="00F531C1" w:rsidRDefault="00F531C1" w:rsidP="00B2102B">
            <w:pPr>
              <w:spacing w:after="0"/>
              <w:jc w:val="both"/>
              <w:rPr>
                <w:rFonts w:ascii="Times New Roman" w:hAnsi="Times New Roman"/>
                <w:b/>
                <w:color w:val="000000"/>
                <w:sz w:val="24"/>
                <w:szCs w:val="24"/>
              </w:rPr>
            </w:pPr>
          </w:p>
          <w:p w:rsidR="00F531C1" w:rsidRDefault="00F531C1" w:rsidP="00B2102B">
            <w:pPr>
              <w:spacing w:after="0"/>
              <w:jc w:val="both"/>
              <w:rPr>
                <w:rFonts w:ascii="Times New Roman" w:hAnsi="Times New Roman"/>
                <w:b/>
                <w:color w:val="000000"/>
                <w:sz w:val="24"/>
                <w:szCs w:val="24"/>
              </w:rPr>
            </w:pPr>
          </w:p>
          <w:p w:rsidR="00F531C1" w:rsidRDefault="00F531C1" w:rsidP="00B2102B">
            <w:pPr>
              <w:spacing w:after="0"/>
              <w:jc w:val="both"/>
              <w:rPr>
                <w:rFonts w:ascii="Times New Roman" w:hAnsi="Times New Roman"/>
                <w:b/>
                <w:color w:val="000000"/>
                <w:sz w:val="24"/>
                <w:szCs w:val="24"/>
              </w:rPr>
            </w:pPr>
          </w:p>
          <w:p w:rsidR="00F531C1" w:rsidRDefault="00F531C1" w:rsidP="00B2102B">
            <w:pPr>
              <w:spacing w:after="0"/>
              <w:jc w:val="both"/>
              <w:rPr>
                <w:rFonts w:ascii="Times New Roman" w:hAnsi="Times New Roman"/>
                <w:b/>
                <w:color w:val="000000"/>
                <w:sz w:val="24"/>
                <w:szCs w:val="24"/>
              </w:rPr>
            </w:pPr>
          </w:p>
          <w:p w:rsidR="00F531C1" w:rsidRDefault="00F531C1" w:rsidP="00B2102B">
            <w:pPr>
              <w:spacing w:after="0"/>
              <w:jc w:val="both"/>
              <w:rPr>
                <w:rFonts w:ascii="Times New Roman" w:hAnsi="Times New Roman"/>
                <w:b/>
                <w:color w:val="000000"/>
                <w:sz w:val="24"/>
                <w:szCs w:val="24"/>
              </w:rPr>
            </w:pPr>
          </w:p>
          <w:p w:rsidR="00F531C1" w:rsidRPr="006B3C3D" w:rsidRDefault="00F531C1" w:rsidP="006B3C3D">
            <w:pPr>
              <w:spacing w:after="0"/>
              <w:jc w:val="both"/>
              <w:rPr>
                <w:rFonts w:ascii="Times New Roman" w:hAnsi="Times New Roman"/>
                <w:b/>
                <w:color w:val="000000"/>
                <w:sz w:val="24"/>
                <w:szCs w:val="24"/>
              </w:rPr>
            </w:pPr>
            <w:r w:rsidRPr="006B3C3D">
              <w:rPr>
                <w:rFonts w:ascii="Times New Roman" w:hAnsi="Times New Roman"/>
                <w:b/>
                <w:color w:val="000000"/>
                <w:sz w:val="24"/>
                <w:szCs w:val="24"/>
              </w:rPr>
              <w:lastRenderedPageBreak/>
              <w:t xml:space="preserve">. </w:t>
            </w:r>
          </w:p>
        </w:tc>
        <w:tc>
          <w:tcPr>
            <w:tcW w:w="1654" w:type="pct"/>
            <w:tcBorders>
              <w:top w:val="single" w:sz="4" w:space="0" w:color="auto"/>
              <w:left w:val="single" w:sz="4" w:space="0" w:color="auto"/>
              <w:bottom w:val="single" w:sz="4" w:space="0" w:color="auto"/>
              <w:right w:val="single" w:sz="4" w:space="0" w:color="auto"/>
            </w:tcBorders>
          </w:tcPr>
          <w:p w:rsidR="00BE7826" w:rsidRDefault="00BE7826" w:rsidP="00364279">
            <w:pPr>
              <w:spacing w:after="0"/>
              <w:jc w:val="both"/>
              <w:rPr>
                <w:rFonts w:ascii="Times New Roman" w:hAnsi="Times New Roman"/>
                <w:b/>
                <w:color w:val="000000"/>
                <w:sz w:val="24"/>
                <w:szCs w:val="24"/>
              </w:rPr>
            </w:pPr>
            <w:r>
              <w:rPr>
                <w:rFonts w:ascii="Times New Roman" w:hAnsi="Times New Roman"/>
                <w:b/>
                <w:color w:val="000000"/>
                <w:sz w:val="24"/>
                <w:szCs w:val="24"/>
              </w:rPr>
              <w:lastRenderedPageBreak/>
              <w:t>Nesouhlasíme s návrhem vypořádání.</w:t>
            </w:r>
          </w:p>
          <w:p w:rsidR="00BE7826" w:rsidRDefault="00BE7826" w:rsidP="00364279">
            <w:pPr>
              <w:spacing w:after="0"/>
              <w:jc w:val="both"/>
              <w:rPr>
                <w:rFonts w:ascii="Times New Roman" w:hAnsi="Times New Roman"/>
                <w:b/>
                <w:color w:val="000000"/>
                <w:sz w:val="24"/>
                <w:szCs w:val="24"/>
              </w:rPr>
            </w:pPr>
          </w:p>
          <w:p w:rsidR="00F531C1" w:rsidRDefault="00C35773" w:rsidP="00364279">
            <w:pPr>
              <w:spacing w:after="0"/>
              <w:jc w:val="both"/>
              <w:rPr>
                <w:rFonts w:ascii="Times New Roman" w:hAnsi="Times New Roman"/>
                <w:b/>
                <w:color w:val="000000"/>
                <w:sz w:val="24"/>
                <w:szCs w:val="24"/>
              </w:rPr>
            </w:pPr>
            <w:r>
              <w:rPr>
                <w:rFonts w:ascii="Times New Roman" w:hAnsi="Times New Roman"/>
                <w:b/>
                <w:color w:val="000000"/>
                <w:sz w:val="24"/>
                <w:szCs w:val="24"/>
              </w:rPr>
              <w:t xml:space="preserve">Domníváme se, že námi vznesená </w:t>
            </w:r>
            <w:r w:rsidR="00BE7826">
              <w:rPr>
                <w:rFonts w:ascii="Times New Roman" w:hAnsi="Times New Roman"/>
                <w:b/>
                <w:color w:val="000000"/>
                <w:sz w:val="24"/>
                <w:szCs w:val="24"/>
              </w:rPr>
              <w:t xml:space="preserve">připomínka nejde nad rámec navrhované novely. Jedná se o požadavek směrnice, aby vykazované položky byly členěny na dlouhodobé a krátkodobé, proto by měl být tento požadavek přímo zapracován do vyhlášky tak, jak je tomu u ostatních položek vykazovaných </w:t>
            </w:r>
            <w:r w:rsidR="00B2102B">
              <w:rPr>
                <w:rFonts w:ascii="Times New Roman" w:hAnsi="Times New Roman"/>
                <w:b/>
                <w:color w:val="000000"/>
                <w:sz w:val="24"/>
                <w:szCs w:val="24"/>
              </w:rPr>
              <w:t>pod p</w:t>
            </w:r>
            <w:r w:rsidR="00BE7826">
              <w:rPr>
                <w:rFonts w:ascii="Times New Roman" w:hAnsi="Times New Roman"/>
                <w:b/>
                <w:color w:val="000000"/>
                <w:sz w:val="24"/>
                <w:szCs w:val="24"/>
              </w:rPr>
              <w:t>oložk</w:t>
            </w:r>
            <w:r w:rsidR="00B2102B">
              <w:rPr>
                <w:rFonts w:ascii="Times New Roman" w:hAnsi="Times New Roman"/>
                <w:b/>
                <w:color w:val="000000"/>
                <w:sz w:val="24"/>
                <w:szCs w:val="24"/>
              </w:rPr>
              <w:t>ami</w:t>
            </w:r>
            <w:r w:rsidR="00BE7826">
              <w:rPr>
                <w:rFonts w:ascii="Times New Roman" w:hAnsi="Times New Roman"/>
                <w:b/>
                <w:color w:val="000000"/>
                <w:sz w:val="24"/>
                <w:szCs w:val="24"/>
              </w:rPr>
              <w:t xml:space="preserve"> </w:t>
            </w:r>
            <w:r w:rsidR="00B2102B">
              <w:rPr>
                <w:rFonts w:ascii="Times New Roman" w:hAnsi="Times New Roman"/>
                <w:b/>
                <w:color w:val="000000"/>
                <w:sz w:val="24"/>
                <w:szCs w:val="24"/>
              </w:rPr>
              <w:t>„</w:t>
            </w:r>
            <w:r w:rsidR="00BE7826">
              <w:rPr>
                <w:rFonts w:ascii="Times New Roman" w:hAnsi="Times New Roman"/>
                <w:b/>
                <w:color w:val="000000"/>
                <w:sz w:val="24"/>
                <w:szCs w:val="24"/>
              </w:rPr>
              <w:t>D.II.Pohledávky</w:t>
            </w:r>
            <w:r w:rsidR="00B2102B">
              <w:rPr>
                <w:rFonts w:ascii="Times New Roman" w:hAnsi="Times New Roman"/>
                <w:b/>
                <w:color w:val="000000"/>
                <w:sz w:val="24"/>
                <w:szCs w:val="24"/>
              </w:rPr>
              <w:t>“</w:t>
            </w:r>
            <w:r w:rsidR="00BE7826">
              <w:rPr>
                <w:rFonts w:ascii="Times New Roman" w:hAnsi="Times New Roman"/>
                <w:b/>
                <w:color w:val="000000"/>
                <w:sz w:val="24"/>
                <w:szCs w:val="24"/>
              </w:rPr>
              <w:t xml:space="preserve">/ </w:t>
            </w:r>
            <w:r w:rsidR="00B2102B">
              <w:rPr>
                <w:rFonts w:ascii="Times New Roman" w:hAnsi="Times New Roman"/>
                <w:b/>
                <w:color w:val="000000"/>
                <w:sz w:val="24"/>
                <w:szCs w:val="24"/>
              </w:rPr>
              <w:t>„</w:t>
            </w:r>
            <w:r w:rsidR="00BE7826">
              <w:rPr>
                <w:rFonts w:ascii="Times New Roman" w:hAnsi="Times New Roman"/>
                <w:b/>
                <w:color w:val="000000"/>
                <w:sz w:val="24"/>
                <w:szCs w:val="24"/>
              </w:rPr>
              <w:t>C. Závazky</w:t>
            </w:r>
            <w:r w:rsidR="00B2102B">
              <w:rPr>
                <w:rFonts w:ascii="Times New Roman" w:hAnsi="Times New Roman"/>
                <w:b/>
                <w:color w:val="000000"/>
                <w:sz w:val="24"/>
                <w:szCs w:val="24"/>
              </w:rPr>
              <w:t>“</w:t>
            </w:r>
            <w:r w:rsidR="00BE7826">
              <w:rPr>
                <w:rFonts w:ascii="Times New Roman" w:hAnsi="Times New Roman"/>
                <w:b/>
                <w:color w:val="000000"/>
                <w:sz w:val="24"/>
                <w:szCs w:val="24"/>
              </w:rPr>
              <w:t>.</w:t>
            </w:r>
          </w:p>
          <w:p w:rsidR="00C35773" w:rsidRDefault="00C35773" w:rsidP="00364279">
            <w:pPr>
              <w:spacing w:after="0"/>
              <w:jc w:val="both"/>
              <w:rPr>
                <w:rFonts w:ascii="Times New Roman" w:hAnsi="Times New Roman"/>
                <w:b/>
                <w:color w:val="000000"/>
                <w:sz w:val="24"/>
                <w:szCs w:val="24"/>
              </w:rPr>
            </w:pPr>
          </w:p>
          <w:p w:rsidR="00CF7495" w:rsidRDefault="00CF7495" w:rsidP="0039473B">
            <w:pPr>
              <w:spacing w:after="0"/>
              <w:jc w:val="both"/>
              <w:rPr>
                <w:rFonts w:ascii="Times New Roman" w:eastAsia="Times New Roman" w:hAnsi="Times New Roman"/>
                <w:b/>
                <w:sz w:val="24"/>
                <w:szCs w:val="24"/>
                <w:highlight w:val="green"/>
                <w:lang w:eastAsia="cs-CZ"/>
              </w:rPr>
            </w:pPr>
            <w:r>
              <w:rPr>
                <w:rFonts w:ascii="Times New Roman" w:eastAsia="Times New Roman" w:hAnsi="Times New Roman"/>
                <w:b/>
                <w:sz w:val="24"/>
                <w:szCs w:val="24"/>
                <w:highlight w:val="green"/>
                <w:lang w:eastAsia="cs-CZ"/>
              </w:rPr>
              <w:t>MF</w:t>
            </w:r>
          </w:p>
          <w:p w:rsidR="0039473B" w:rsidRPr="005A2DB0" w:rsidRDefault="00A21D22" w:rsidP="0039473B">
            <w:pPr>
              <w:spacing w:after="0"/>
              <w:jc w:val="both"/>
              <w:rPr>
                <w:rFonts w:ascii="Times New Roman" w:hAnsi="Times New Roman"/>
                <w:b/>
                <w:color w:val="000000"/>
                <w:sz w:val="24"/>
                <w:szCs w:val="24"/>
              </w:rPr>
            </w:pPr>
            <w:r w:rsidRPr="005A2DB0">
              <w:rPr>
                <w:rFonts w:ascii="Times New Roman" w:eastAsia="Times New Roman" w:hAnsi="Times New Roman"/>
                <w:b/>
                <w:sz w:val="24"/>
                <w:szCs w:val="24"/>
                <w:highlight w:val="green"/>
                <w:lang w:eastAsia="cs-CZ"/>
              </w:rPr>
              <w:t>Můžeme pouze zopakovat, že považuje-li účetní jednotka dotčenou skutečnost za významnou, m</w:t>
            </w:r>
            <w:r w:rsidR="0039473B" w:rsidRPr="005A2DB0">
              <w:rPr>
                <w:rFonts w:ascii="Times New Roman" w:eastAsia="Times New Roman" w:hAnsi="Times New Roman"/>
                <w:b/>
                <w:sz w:val="24"/>
                <w:szCs w:val="24"/>
                <w:highlight w:val="green"/>
                <w:lang w:eastAsia="cs-CZ"/>
              </w:rPr>
              <w:t>á možnost podle § 4 odst. 2 vyhlášky členit na podpoložky</w:t>
            </w:r>
            <w:r w:rsidRPr="005A2DB0">
              <w:rPr>
                <w:rFonts w:ascii="Times New Roman" w:eastAsia="Times New Roman" w:hAnsi="Times New Roman"/>
                <w:b/>
                <w:sz w:val="24"/>
                <w:szCs w:val="24"/>
                <w:highlight w:val="green"/>
                <w:lang w:eastAsia="cs-CZ"/>
              </w:rPr>
              <w:t xml:space="preserve">, </w:t>
            </w:r>
            <w:r w:rsidR="0039473B" w:rsidRPr="005A2DB0">
              <w:rPr>
                <w:rFonts w:ascii="Times New Roman" w:eastAsia="Times New Roman" w:hAnsi="Times New Roman"/>
                <w:b/>
                <w:sz w:val="24"/>
                <w:szCs w:val="24"/>
                <w:highlight w:val="green"/>
                <w:lang w:eastAsia="cs-CZ"/>
              </w:rPr>
              <w:t xml:space="preserve">případně </w:t>
            </w:r>
            <w:r w:rsidR="0039473B" w:rsidRPr="005A2DB0">
              <w:rPr>
                <w:rFonts w:ascii="Times New Roman" w:eastAsia="Times New Roman" w:hAnsi="Times New Roman"/>
                <w:b/>
                <w:sz w:val="24"/>
                <w:szCs w:val="24"/>
                <w:highlight w:val="green"/>
                <w:lang w:eastAsia="cs-CZ"/>
              </w:rPr>
              <w:lastRenderedPageBreak/>
              <w:t>může tuto skutečnost uvést v příloze v účetní závěrce.</w:t>
            </w:r>
            <w:r w:rsidRPr="005A2DB0">
              <w:rPr>
                <w:rFonts w:ascii="Times New Roman" w:eastAsia="Times New Roman" w:hAnsi="Times New Roman"/>
                <w:b/>
                <w:sz w:val="24"/>
                <w:szCs w:val="24"/>
                <w:lang w:eastAsia="cs-CZ"/>
              </w:rPr>
              <w:t xml:space="preserve"> </w:t>
            </w:r>
            <w:r w:rsidRPr="005A2DB0">
              <w:rPr>
                <w:rFonts w:ascii="Times New Roman" w:eastAsia="Times New Roman" w:hAnsi="Times New Roman"/>
                <w:b/>
                <w:sz w:val="24"/>
                <w:szCs w:val="24"/>
                <w:highlight w:val="green"/>
                <w:lang w:eastAsia="cs-CZ"/>
              </w:rPr>
              <w:t>Tato úprava podle našeho názoru pokrývá požadavek směrnice v dané oblasti.</w:t>
            </w:r>
          </w:p>
          <w:p w:rsidR="00C35773" w:rsidRDefault="00C35773" w:rsidP="00BE7826">
            <w:pPr>
              <w:spacing w:after="0"/>
              <w:jc w:val="both"/>
              <w:rPr>
                <w:rFonts w:ascii="Times New Roman" w:hAnsi="Times New Roman"/>
                <w:b/>
                <w:color w:val="000000"/>
                <w:sz w:val="24"/>
                <w:szCs w:val="24"/>
              </w:rPr>
            </w:pPr>
          </w:p>
        </w:tc>
      </w:tr>
      <w:tr w:rsidR="00F531C1" w:rsidTr="00F531C1">
        <w:tc>
          <w:tcPr>
            <w:tcW w:w="338" w:type="pct"/>
            <w:tcBorders>
              <w:top w:val="single" w:sz="4" w:space="0" w:color="auto"/>
              <w:left w:val="single" w:sz="4" w:space="0" w:color="auto"/>
              <w:bottom w:val="single" w:sz="4" w:space="0" w:color="auto"/>
              <w:right w:val="single" w:sz="4" w:space="0" w:color="auto"/>
            </w:tcBorders>
          </w:tcPr>
          <w:p w:rsidR="00F531C1" w:rsidRDefault="00F531C1" w:rsidP="00B2102B">
            <w:pPr>
              <w:spacing w:after="0"/>
              <w:jc w:val="both"/>
              <w:rPr>
                <w:rFonts w:ascii="Times New Roman" w:hAnsi="Times New Roman"/>
                <w:color w:val="000000"/>
                <w:sz w:val="24"/>
                <w:szCs w:val="24"/>
              </w:rPr>
            </w:pPr>
          </w:p>
        </w:tc>
        <w:tc>
          <w:tcPr>
            <w:tcW w:w="202" w:type="pct"/>
            <w:tcBorders>
              <w:top w:val="single" w:sz="4" w:space="0" w:color="auto"/>
              <w:left w:val="single" w:sz="4" w:space="0" w:color="auto"/>
              <w:bottom w:val="single" w:sz="4" w:space="0" w:color="auto"/>
              <w:right w:val="single" w:sz="4" w:space="0" w:color="auto"/>
            </w:tcBorders>
          </w:tcPr>
          <w:p w:rsidR="00F531C1" w:rsidRPr="000509D2" w:rsidRDefault="00F531C1" w:rsidP="00B2102B">
            <w:pPr>
              <w:spacing w:after="0"/>
              <w:jc w:val="both"/>
              <w:rPr>
                <w:rFonts w:ascii="Times New Roman" w:hAnsi="Times New Roman"/>
                <w:color w:val="000000"/>
                <w:sz w:val="24"/>
                <w:szCs w:val="24"/>
              </w:rPr>
            </w:pPr>
          </w:p>
        </w:tc>
        <w:tc>
          <w:tcPr>
            <w:tcW w:w="150" w:type="pct"/>
            <w:tcBorders>
              <w:top w:val="single" w:sz="4" w:space="0" w:color="auto"/>
              <w:left w:val="single" w:sz="4" w:space="0" w:color="auto"/>
              <w:bottom w:val="single" w:sz="4" w:space="0" w:color="auto"/>
              <w:right w:val="single" w:sz="4" w:space="0" w:color="auto"/>
            </w:tcBorders>
          </w:tcPr>
          <w:p w:rsidR="00F531C1" w:rsidRPr="006B3C3D" w:rsidRDefault="00F531C1" w:rsidP="00B2102B">
            <w:pPr>
              <w:jc w:val="both"/>
              <w:rPr>
                <w:rFonts w:ascii="Times New Roman" w:hAnsi="Times New Roman"/>
                <w:color w:val="000000"/>
                <w:sz w:val="24"/>
                <w:szCs w:val="24"/>
              </w:rPr>
            </w:pPr>
            <w:r w:rsidRPr="006B3C3D">
              <w:rPr>
                <w:rFonts w:ascii="Times New Roman" w:hAnsi="Times New Roman"/>
                <w:color w:val="000000"/>
                <w:sz w:val="24"/>
                <w:szCs w:val="24"/>
              </w:rPr>
              <w:t>D</w:t>
            </w:r>
          </w:p>
        </w:tc>
        <w:tc>
          <w:tcPr>
            <w:tcW w:w="1304" w:type="pct"/>
            <w:tcBorders>
              <w:top w:val="single" w:sz="4" w:space="0" w:color="auto"/>
              <w:left w:val="single" w:sz="4" w:space="0" w:color="auto"/>
              <w:bottom w:val="single" w:sz="4" w:space="0" w:color="auto"/>
              <w:right w:val="single" w:sz="4" w:space="0" w:color="auto"/>
            </w:tcBorders>
          </w:tcPr>
          <w:p w:rsidR="00F531C1" w:rsidRPr="006B3C3D" w:rsidRDefault="00F531C1" w:rsidP="006B3C3D">
            <w:pPr>
              <w:spacing w:after="0"/>
              <w:jc w:val="both"/>
              <w:rPr>
                <w:rFonts w:ascii="Times New Roman" w:eastAsia="Times New Roman" w:hAnsi="Times New Roman"/>
                <w:sz w:val="24"/>
                <w:szCs w:val="24"/>
              </w:rPr>
            </w:pPr>
            <w:r w:rsidRPr="006B3C3D">
              <w:rPr>
                <w:rFonts w:ascii="Times New Roman" w:eastAsia="Times New Roman" w:hAnsi="Times New Roman"/>
                <w:sz w:val="24"/>
                <w:szCs w:val="24"/>
              </w:rPr>
              <w:t xml:space="preserve">Dále bychom v souvislosti s navrhovanou změnou označení položky rozvahy „B. Dlouhodobý majetek“ na „B. Stálá aktiva“ uvedené v příloze č. 1 vyhlášky a v souvislosti s navrhovanou úpravou vykazování časového rozlišení chtěli upozornit na další </w:t>
            </w:r>
            <w:r w:rsidRPr="006B3C3D">
              <w:rPr>
                <w:rFonts w:ascii="Times New Roman" w:eastAsia="Times New Roman" w:hAnsi="Times New Roman"/>
                <w:sz w:val="24"/>
                <w:szCs w:val="24"/>
              </w:rPr>
              <w:lastRenderedPageBreak/>
              <w:t>praktický problém, který se týká věcného obsahu účtů časového rozlišení, které zejména v podmínkách českého účetnictví nemají vždy pouze povahu oběžného aktiva, ale často mají stálý charakter (např. soubor drobného majetku). Navrhujeme proto ke zvážení, aby v případě volby alternativního vykazování časového rozlišení pod účty pohledávek/závazků účetní jednotky vykazovaly takové položky v rámci příslušných položek stálých aktiv, kam věcně přísluší. Domníváme se rovněž, že by tento požadavek měl být pro výše uvedenou alternativu vykazování časového rozlišení přímo zapracován do ustanovení § 6 a § 7 vyhlášky.</w:t>
            </w:r>
          </w:p>
        </w:tc>
        <w:tc>
          <w:tcPr>
            <w:tcW w:w="1352" w:type="pct"/>
            <w:tcBorders>
              <w:top w:val="single" w:sz="4" w:space="0" w:color="auto"/>
              <w:left w:val="single" w:sz="4" w:space="0" w:color="auto"/>
              <w:bottom w:val="single" w:sz="4" w:space="0" w:color="auto"/>
              <w:right w:val="single" w:sz="4" w:space="0" w:color="auto"/>
            </w:tcBorders>
          </w:tcPr>
          <w:p w:rsidR="00F531C1" w:rsidRDefault="00F531C1" w:rsidP="00B2102B">
            <w:pPr>
              <w:spacing w:after="0"/>
              <w:jc w:val="both"/>
              <w:rPr>
                <w:rFonts w:ascii="Times New Roman" w:hAnsi="Times New Roman"/>
                <w:b/>
                <w:color w:val="000000"/>
                <w:sz w:val="24"/>
                <w:szCs w:val="24"/>
              </w:rPr>
            </w:pPr>
            <w:r>
              <w:rPr>
                <w:rFonts w:ascii="Times New Roman" w:hAnsi="Times New Roman"/>
                <w:b/>
                <w:color w:val="000000"/>
                <w:sz w:val="24"/>
                <w:szCs w:val="24"/>
              </w:rPr>
              <w:lastRenderedPageBreak/>
              <w:t>Nevyhověno.</w:t>
            </w:r>
          </w:p>
          <w:p w:rsidR="00F531C1" w:rsidRPr="006B3C3D" w:rsidRDefault="00F531C1" w:rsidP="00B2102B">
            <w:pPr>
              <w:spacing w:after="0"/>
              <w:jc w:val="both"/>
              <w:rPr>
                <w:rFonts w:ascii="Times New Roman" w:hAnsi="Times New Roman"/>
                <w:color w:val="000000"/>
                <w:sz w:val="24"/>
                <w:szCs w:val="24"/>
              </w:rPr>
            </w:pPr>
            <w:r w:rsidRPr="006B3C3D">
              <w:rPr>
                <w:rFonts w:ascii="Times New Roman" w:hAnsi="Times New Roman"/>
                <w:color w:val="000000"/>
                <w:sz w:val="24"/>
                <w:szCs w:val="24"/>
              </w:rPr>
              <w:t>Požadavek jde nad rámec Směrnice 2013/34/EU, která v daném případě nestanoví členskému státu žádnou další povinnost, pokud jde o přístup k časovému rozlišení.</w:t>
            </w:r>
          </w:p>
          <w:p w:rsidR="00F531C1" w:rsidRDefault="00F531C1" w:rsidP="00B2102B">
            <w:pPr>
              <w:spacing w:after="0"/>
              <w:jc w:val="both"/>
              <w:rPr>
                <w:rFonts w:ascii="Times New Roman" w:hAnsi="Times New Roman"/>
                <w:b/>
                <w:color w:val="000000"/>
                <w:sz w:val="24"/>
                <w:szCs w:val="24"/>
              </w:rPr>
            </w:pPr>
          </w:p>
        </w:tc>
        <w:tc>
          <w:tcPr>
            <w:tcW w:w="1654" w:type="pct"/>
            <w:tcBorders>
              <w:top w:val="single" w:sz="4" w:space="0" w:color="auto"/>
              <w:left w:val="single" w:sz="4" w:space="0" w:color="auto"/>
              <w:bottom w:val="single" w:sz="4" w:space="0" w:color="auto"/>
              <w:right w:val="single" w:sz="4" w:space="0" w:color="auto"/>
            </w:tcBorders>
          </w:tcPr>
          <w:p w:rsidR="00F531C1" w:rsidRDefault="00BE7826" w:rsidP="00B2102B">
            <w:pPr>
              <w:spacing w:after="0"/>
              <w:jc w:val="both"/>
              <w:rPr>
                <w:rFonts w:ascii="Times New Roman" w:hAnsi="Times New Roman"/>
                <w:b/>
                <w:color w:val="000000"/>
                <w:sz w:val="24"/>
                <w:szCs w:val="24"/>
              </w:rPr>
            </w:pPr>
            <w:r>
              <w:rPr>
                <w:rFonts w:ascii="Times New Roman" w:hAnsi="Times New Roman"/>
                <w:b/>
                <w:color w:val="000000"/>
                <w:sz w:val="24"/>
                <w:szCs w:val="24"/>
              </w:rPr>
              <w:t>Nesouhlasíme s návrhem vypořádání.</w:t>
            </w:r>
          </w:p>
          <w:p w:rsidR="00BE7826" w:rsidRDefault="00BE7826" w:rsidP="00B2102B">
            <w:pPr>
              <w:spacing w:after="0"/>
              <w:jc w:val="both"/>
              <w:rPr>
                <w:rFonts w:ascii="Times New Roman" w:hAnsi="Times New Roman"/>
                <w:b/>
                <w:color w:val="000000"/>
                <w:sz w:val="24"/>
                <w:szCs w:val="24"/>
              </w:rPr>
            </w:pPr>
          </w:p>
          <w:p w:rsidR="00BE7826" w:rsidRDefault="00BE7826" w:rsidP="00B2102B">
            <w:pPr>
              <w:spacing w:after="0"/>
              <w:jc w:val="both"/>
              <w:rPr>
                <w:rFonts w:ascii="Times New Roman" w:hAnsi="Times New Roman"/>
                <w:b/>
                <w:color w:val="000000"/>
                <w:sz w:val="24"/>
                <w:szCs w:val="24"/>
              </w:rPr>
            </w:pPr>
            <w:r>
              <w:rPr>
                <w:rFonts w:ascii="Times New Roman" w:hAnsi="Times New Roman"/>
                <w:b/>
                <w:color w:val="000000"/>
                <w:sz w:val="24"/>
                <w:szCs w:val="24"/>
              </w:rPr>
              <w:t xml:space="preserve">Domníváme se, že Směrnice primárně nepředpokládá, že v časovém rozlišení budou zahrnuta stálá aktiva tak, jak je tomu u nás. Znovu proto doporučujeme tuto skutečnost přímo zapracovat do znění vyhlášky a navazujících českých účetních </w:t>
            </w:r>
            <w:r>
              <w:rPr>
                <w:rFonts w:ascii="Times New Roman" w:hAnsi="Times New Roman"/>
                <w:b/>
                <w:color w:val="000000"/>
                <w:sz w:val="24"/>
                <w:szCs w:val="24"/>
              </w:rPr>
              <w:lastRenderedPageBreak/>
              <w:t xml:space="preserve">standardů. </w:t>
            </w:r>
          </w:p>
          <w:p w:rsidR="00BE7826" w:rsidRDefault="00BE7826" w:rsidP="00B2102B">
            <w:pPr>
              <w:spacing w:after="0"/>
              <w:jc w:val="both"/>
              <w:rPr>
                <w:rFonts w:ascii="Times New Roman" w:hAnsi="Times New Roman"/>
                <w:b/>
                <w:color w:val="000000"/>
                <w:sz w:val="24"/>
                <w:szCs w:val="24"/>
              </w:rPr>
            </w:pPr>
          </w:p>
          <w:p w:rsidR="00CF7495" w:rsidRDefault="00CF7495" w:rsidP="00B2102B">
            <w:pPr>
              <w:spacing w:after="0"/>
              <w:jc w:val="both"/>
              <w:rPr>
                <w:rFonts w:ascii="Times New Roman" w:hAnsi="Times New Roman"/>
                <w:b/>
                <w:color w:val="000000"/>
                <w:sz w:val="24"/>
                <w:szCs w:val="24"/>
                <w:highlight w:val="green"/>
              </w:rPr>
            </w:pPr>
            <w:r>
              <w:rPr>
                <w:rFonts w:ascii="Times New Roman" w:hAnsi="Times New Roman"/>
                <w:b/>
                <w:color w:val="000000"/>
                <w:sz w:val="24"/>
                <w:szCs w:val="24"/>
                <w:highlight w:val="green"/>
              </w:rPr>
              <w:t>MF</w:t>
            </w:r>
          </w:p>
          <w:p w:rsidR="00BE7AF3" w:rsidRDefault="00BE7AF3" w:rsidP="00B2102B">
            <w:pPr>
              <w:spacing w:after="0"/>
              <w:jc w:val="both"/>
              <w:rPr>
                <w:rFonts w:ascii="Times New Roman" w:hAnsi="Times New Roman"/>
                <w:b/>
                <w:color w:val="000000"/>
                <w:sz w:val="24"/>
                <w:szCs w:val="24"/>
              </w:rPr>
            </w:pPr>
            <w:r w:rsidRPr="0039473B">
              <w:rPr>
                <w:rFonts w:ascii="Times New Roman" w:hAnsi="Times New Roman"/>
                <w:b/>
                <w:color w:val="000000"/>
                <w:sz w:val="24"/>
                <w:szCs w:val="24"/>
                <w:highlight w:val="green"/>
              </w:rPr>
              <w:t>Časově rozlišen</w:t>
            </w:r>
            <w:r w:rsidR="0039473B">
              <w:rPr>
                <w:rFonts w:ascii="Times New Roman" w:hAnsi="Times New Roman"/>
                <w:b/>
                <w:color w:val="000000"/>
                <w:sz w:val="24"/>
                <w:szCs w:val="24"/>
                <w:highlight w:val="green"/>
              </w:rPr>
              <w:t>ý</w:t>
            </w:r>
            <w:r w:rsidRPr="0039473B">
              <w:rPr>
                <w:rFonts w:ascii="Times New Roman" w:hAnsi="Times New Roman"/>
                <w:b/>
                <w:color w:val="000000"/>
                <w:sz w:val="24"/>
                <w:szCs w:val="24"/>
                <w:highlight w:val="green"/>
              </w:rPr>
              <w:t xml:space="preserve"> soubor drobného majetku nebyl vykazován v položkách stálých aktiv ani před navrhovanou novelou</w:t>
            </w:r>
            <w:r w:rsidR="0039473B" w:rsidRPr="0039473B">
              <w:rPr>
                <w:rFonts w:ascii="Times New Roman" w:hAnsi="Times New Roman"/>
                <w:b/>
                <w:color w:val="000000"/>
                <w:sz w:val="24"/>
                <w:szCs w:val="24"/>
                <w:highlight w:val="green"/>
              </w:rPr>
              <w:t>; variantní způsob vykazování položek časového rozlišení na této skutečnosti nic nemění.</w:t>
            </w:r>
            <w:r>
              <w:rPr>
                <w:rFonts w:ascii="Times New Roman" w:hAnsi="Times New Roman"/>
                <w:b/>
                <w:color w:val="000000"/>
                <w:sz w:val="24"/>
                <w:szCs w:val="24"/>
              </w:rPr>
              <w:t xml:space="preserve"> </w:t>
            </w:r>
          </w:p>
          <w:p w:rsidR="00BE7826" w:rsidRDefault="00BE7826" w:rsidP="00B2102B">
            <w:pPr>
              <w:spacing w:after="0"/>
              <w:jc w:val="both"/>
              <w:rPr>
                <w:rFonts w:ascii="Times New Roman" w:hAnsi="Times New Roman"/>
                <w:b/>
                <w:color w:val="000000"/>
                <w:sz w:val="24"/>
                <w:szCs w:val="24"/>
              </w:rPr>
            </w:pPr>
          </w:p>
        </w:tc>
      </w:tr>
      <w:tr w:rsidR="00F531C1" w:rsidRPr="00C963BC" w:rsidTr="00F531C1">
        <w:tc>
          <w:tcPr>
            <w:tcW w:w="338" w:type="pct"/>
            <w:tcBorders>
              <w:top w:val="single" w:sz="4" w:space="0" w:color="auto"/>
              <w:left w:val="single" w:sz="4" w:space="0" w:color="auto"/>
              <w:bottom w:val="single" w:sz="4" w:space="0" w:color="auto"/>
              <w:right w:val="single" w:sz="4" w:space="0" w:color="auto"/>
            </w:tcBorders>
          </w:tcPr>
          <w:p w:rsidR="00F531C1" w:rsidRPr="000509D2" w:rsidRDefault="00F531C1" w:rsidP="00B2102B">
            <w:pPr>
              <w:spacing w:after="0"/>
              <w:jc w:val="both"/>
              <w:rPr>
                <w:rFonts w:ascii="Times New Roman" w:hAnsi="Times New Roman"/>
                <w:color w:val="000000"/>
                <w:sz w:val="24"/>
                <w:szCs w:val="24"/>
              </w:rPr>
            </w:pPr>
          </w:p>
        </w:tc>
        <w:tc>
          <w:tcPr>
            <w:tcW w:w="202" w:type="pct"/>
            <w:tcBorders>
              <w:top w:val="single" w:sz="4" w:space="0" w:color="auto"/>
              <w:left w:val="single" w:sz="4" w:space="0" w:color="auto"/>
              <w:bottom w:val="single" w:sz="4" w:space="0" w:color="auto"/>
              <w:right w:val="single" w:sz="4" w:space="0" w:color="auto"/>
            </w:tcBorders>
          </w:tcPr>
          <w:p w:rsidR="00F531C1" w:rsidRPr="000509D2" w:rsidRDefault="00F531C1" w:rsidP="00B2102B">
            <w:pPr>
              <w:spacing w:after="0"/>
              <w:jc w:val="both"/>
              <w:rPr>
                <w:rFonts w:ascii="Times New Roman" w:hAnsi="Times New Roman"/>
                <w:color w:val="000000"/>
                <w:sz w:val="24"/>
                <w:szCs w:val="24"/>
              </w:rPr>
            </w:pPr>
          </w:p>
        </w:tc>
        <w:tc>
          <w:tcPr>
            <w:tcW w:w="150" w:type="pct"/>
            <w:tcBorders>
              <w:top w:val="single" w:sz="4" w:space="0" w:color="auto"/>
              <w:left w:val="single" w:sz="4" w:space="0" w:color="auto"/>
              <w:bottom w:val="single" w:sz="4" w:space="0" w:color="auto"/>
              <w:right w:val="single" w:sz="4" w:space="0" w:color="auto"/>
            </w:tcBorders>
          </w:tcPr>
          <w:p w:rsidR="00F531C1" w:rsidRPr="006B3C3D" w:rsidRDefault="00F531C1" w:rsidP="00B2102B">
            <w:pPr>
              <w:jc w:val="both"/>
              <w:rPr>
                <w:rFonts w:ascii="Times New Roman" w:hAnsi="Times New Roman"/>
                <w:color w:val="000000"/>
                <w:sz w:val="24"/>
                <w:szCs w:val="24"/>
              </w:rPr>
            </w:pPr>
            <w:r w:rsidRPr="006B3C3D">
              <w:rPr>
                <w:rFonts w:ascii="Times New Roman" w:hAnsi="Times New Roman"/>
                <w:color w:val="000000"/>
                <w:sz w:val="24"/>
                <w:szCs w:val="24"/>
              </w:rPr>
              <w:t>D</w:t>
            </w:r>
          </w:p>
        </w:tc>
        <w:tc>
          <w:tcPr>
            <w:tcW w:w="1304" w:type="pct"/>
            <w:tcBorders>
              <w:top w:val="single" w:sz="4" w:space="0" w:color="auto"/>
              <w:left w:val="single" w:sz="4" w:space="0" w:color="auto"/>
              <w:bottom w:val="single" w:sz="4" w:space="0" w:color="auto"/>
              <w:right w:val="single" w:sz="4" w:space="0" w:color="auto"/>
            </w:tcBorders>
          </w:tcPr>
          <w:p w:rsidR="00F531C1" w:rsidRPr="006B3C3D" w:rsidRDefault="00F531C1" w:rsidP="006B3C3D">
            <w:pPr>
              <w:spacing w:after="0"/>
              <w:jc w:val="both"/>
              <w:rPr>
                <w:rFonts w:ascii="Times New Roman" w:eastAsia="Times New Roman" w:hAnsi="Times New Roman"/>
                <w:sz w:val="24"/>
                <w:szCs w:val="24"/>
              </w:rPr>
            </w:pPr>
            <w:r w:rsidRPr="006B3C3D">
              <w:rPr>
                <w:rFonts w:ascii="Times New Roman" w:eastAsia="Times New Roman" w:hAnsi="Times New Roman"/>
                <w:sz w:val="24"/>
                <w:szCs w:val="24"/>
              </w:rPr>
              <w:t xml:space="preserve">Ustanovení § 3 odst. 10 vyhlášky </w:t>
            </w:r>
          </w:p>
          <w:p w:rsidR="00F531C1" w:rsidRPr="000509D2" w:rsidRDefault="00F531C1" w:rsidP="006B3C3D">
            <w:pPr>
              <w:spacing w:after="0"/>
              <w:jc w:val="both"/>
              <w:rPr>
                <w:rFonts w:ascii="Times New Roman" w:eastAsia="Times New Roman" w:hAnsi="Times New Roman"/>
                <w:sz w:val="24"/>
                <w:szCs w:val="24"/>
              </w:rPr>
            </w:pPr>
            <w:r w:rsidRPr="006B3C3D">
              <w:rPr>
                <w:rFonts w:ascii="Times New Roman" w:eastAsia="Times New Roman" w:hAnsi="Times New Roman"/>
                <w:sz w:val="24"/>
                <w:szCs w:val="24"/>
              </w:rPr>
              <w:t xml:space="preserve">Vzhledem k připravované významné novele vyhlášky č. 501/2002 Sb., kterou se provádějí některá ustanovení zákona č. 563/1991 Sb., o účetnictví, ve znění pozdějších předpisů, pro účetní </w:t>
            </w:r>
            <w:r w:rsidRPr="006B3C3D">
              <w:rPr>
                <w:rFonts w:ascii="Times New Roman" w:eastAsia="Times New Roman" w:hAnsi="Times New Roman"/>
                <w:sz w:val="24"/>
                <w:szCs w:val="24"/>
              </w:rPr>
              <w:lastRenderedPageBreak/>
              <w:t xml:space="preserve">jednotky, které jsou bankami a jinými finančními institucemi, ve znění pozdějších předpisů (dále jen vyhláška č. 501/2002 Sb.), dopadající také do oblasti oceňování derivátů s předpokládanou účinností od 1. ledna 2018, nepovažujeme za vhodné ani praktické odkazovat v ustanovení § 3 odst. 10 vyhlášky na znění vyhlášky č. 501/2002 Sb., které bude od 1. ledna 2018 neplatné. Domníváme se rovněž, že vykazování a zveřejňování derivátů by mělo odpovídat požadavkům kladeným na účetní jednotky, které jsou podnikateli a nejsou bankami ani finančními institucemi. Navrhujeme proto zapracování příslušných ustanovení vyhlášky č. 501/2002 Sb. přímo do novely vyhlášky pro zajištění větší právní jistoty účetních jednotek a za účelem předejití možných výkladových těžkostí v praxi.   </w:t>
            </w:r>
          </w:p>
        </w:tc>
        <w:tc>
          <w:tcPr>
            <w:tcW w:w="1352" w:type="pct"/>
            <w:tcBorders>
              <w:top w:val="single" w:sz="4" w:space="0" w:color="auto"/>
              <w:left w:val="single" w:sz="4" w:space="0" w:color="auto"/>
              <w:bottom w:val="single" w:sz="4" w:space="0" w:color="auto"/>
              <w:right w:val="single" w:sz="4" w:space="0" w:color="auto"/>
            </w:tcBorders>
          </w:tcPr>
          <w:p w:rsidR="00F531C1" w:rsidRDefault="00F531C1" w:rsidP="00B2102B">
            <w:pPr>
              <w:spacing w:after="0"/>
              <w:jc w:val="both"/>
              <w:rPr>
                <w:rFonts w:ascii="Times New Roman" w:hAnsi="Times New Roman"/>
                <w:b/>
                <w:color w:val="000000"/>
                <w:sz w:val="24"/>
                <w:szCs w:val="24"/>
              </w:rPr>
            </w:pPr>
            <w:r>
              <w:rPr>
                <w:rFonts w:ascii="Times New Roman" w:hAnsi="Times New Roman"/>
                <w:b/>
                <w:color w:val="000000"/>
                <w:sz w:val="24"/>
                <w:szCs w:val="24"/>
              </w:rPr>
              <w:lastRenderedPageBreak/>
              <w:t>Nevyhověno.</w:t>
            </w:r>
          </w:p>
          <w:p w:rsidR="00F531C1" w:rsidRPr="006B3C3D" w:rsidRDefault="00F531C1" w:rsidP="001229FA">
            <w:pPr>
              <w:spacing w:after="0"/>
              <w:jc w:val="both"/>
              <w:rPr>
                <w:rFonts w:ascii="Times New Roman" w:hAnsi="Times New Roman"/>
                <w:b/>
                <w:color w:val="000000"/>
                <w:sz w:val="24"/>
                <w:szCs w:val="24"/>
              </w:rPr>
            </w:pPr>
            <w:r w:rsidRPr="006B3C3D">
              <w:rPr>
                <w:rFonts w:ascii="Times New Roman" w:hAnsi="Times New Roman"/>
                <w:color w:val="000000"/>
                <w:sz w:val="24"/>
                <w:szCs w:val="24"/>
              </w:rPr>
              <w:t xml:space="preserve">Odkaz na neúčinný právní předpis se objevuje v platných a účinných právních předpisech a není ničím výjimečný. Důvodem takovéto úpravy je skutečnost, že některá ustanovená týkající se, zejména </w:t>
            </w:r>
            <w:r w:rsidRPr="006B3C3D">
              <w:rPr>
                <w:rFonts w:ascii="Times New Roman" w:hAnsi="Times New Roman"/>
                <w:color w:val="000000"/>
                <w:sz w:val="24"/>
                <w:szCs w:val="24"/>
              </w:rPr>
              <w:lastRenderedPageBreak/>
              <w:t>finančních nástrojů, nejsou vyhláškou č. 500/2002 Sb., upravena již ve stávajícím znění a jsou řešena odkazem právě na vyhlášku č. 501/2002 Sb., přičemž by při převodu textu mohlo dojít k opomenutí či chybě. I ve stávajícím znění lze nalézt úpravu derivátů odkazem na úpravu obsaženou ve vyhlášce č. 501/2002 (§ 52 odst. 7 a 8 vyhlášky pro podnikatele</w:t>
            </w:r>
            <w:r>
              <w:rPr>
                <w:rFonts w:ascii="Times New Roman" w:hAnsi="Times New Roman"/>
                <w:color w:val="000000"/>
                <w:sz w:val="24"/>
                <w:szCs w:val="24"/>
              </w:rPr>
              <w:t>)</w:t>
            </w:r>
            <w:r w:rsidRPr="006B3C3D">
              <w:rPr>
                <w:rFonts w:ascii="Times New Roman" w:hAnsi="Times New Roman"/>
                <w:color w:val="000000"/>
                <w:sz w:val="24"/>
                <w:szCs w:val="24"/>
              </w:rPr>
              <w:t xml:space="preserve">. </w:t>
            </w:r>
          </w:p>
        </w:tc>
        <w:tc>
          <w:tcPr>
            <w:tcW w:w="1654" w:type="pct"/>
            <w:tcBorders>
              <w:top w:val="single" w:sz="4" w:space="0" w:color="auto"/>
              <w:left w:val="single" w:sz="4" w:space="0" w:color="auto"/>
              <w:bottom w:val="single" w:sz="4" w:space="0" w:color="auto"/>
              <w:right w:val="single" w:sz="4" w:space="0" w:color="auto"/>
            </w:tcBorders>
          </w:tcPr>
          <w:p w:rsidR="00F531C1" w:rsidRDefault="00C91338" w:rsidP="00B2102B">
            <w:pPr>
              <w:spacing w:after="0"/>
              <w:jc w:val="both"/>
              <w:rPr>
                <w:rFonts w:ascii="Times New Roman" w:hAnsi="Times New Roman"/>
                <w:b/>
                <w:color w:val="000000"/>
                <w:sz w:val="24"/>
                <w:szCs w:val="24"/>
              </w:rPr>
            </w:pPr>
            <w:r>
              <w:rPr>
                <w:rFonts w:ascii="Times New Roman" w:hAnsi="Times New Roman"/>
                <w:b/>
                <w:color w:val="000000"/>
                <w:sz w:val="24"/>
                <w:szCs w:val="24"/>
              </w:rPr>
              <w:lastRenderedPageBreak/>
              <w:t xml:space="preserve">Nesouhlasíme s návrhem vypořádání. </w:t>
            </w:r>
          </w:p>
          <w:p w:rsidR="00C91338" w:rsidRDefault="00C91338" w:rsidP="00B2102B">
            <w:pPr>
              <w:spacing w:after="0"/>
              <w:jc w:val="both"/>
              <w:rPr>
                <w:rFonts w:ascii="Times New Roman" w:hAnsi="Times New Roman"/>
                <w:b/>
                <w:color w:val="000000"/>
                <w:sz w:val="24"/>
                <w:szCs w:val="24"/>
              </w:rPr>
            </w:pPr>
          </w:p>
          <w:p w:rsidR="00C91338" w:rsidRDefault="00C91338" w:rsidP="00C91338">
            <w:pPr>
              <w:spacing w:after="0"/>
              <w:jc w:val="both"/>
              <w:rPr>
                <w:rFonts w:ascii="Times New Roman" w:eastAsia="Times New Roman" w:hAnsi="Times New Roman"/>
                <w:b/>
                <w:sz w:val="24"/>
                <w:szCs w:val="24"/>
              </w:rPr>
            </w:pPr>
            <w:r>
              <w:rPr>
                <w:rFonts w:ascii="Times New Roman" w:hAnsi="Times New Roman"/>
                <w:b/>
                <w:color w:val="000000"/>
                <w:sz w:val="24"/>
                <w:szCs w:val="24"/>
              </w:rPr>
              <w:t xml:space="preserve">Z důvodu zajištění větší právní jistoty účetních jednotek a za účelem předejití možných výkladových těžkostí v praxi i nadále doporučujeme </w:t>
            </w:r>
            <w:r w:rsidRPr="00C91338">
              <w:rPr>
                <w:rFonts w:ascii="Times New Roman" w:eastAsia="Times New Roman" w:hAnsi="Times New Roman"/>
                <w:b/>
                <w:sz w:val="24"/>
                <w:szCs w:val="24"/>
              </w:rPr>
              <w:t xml:space="preserve">zapracování příslušných ustanovení vyhlášky č. </w:t>
            </w:r>
            <w:r w:rsidRPr="00C91338">
              <w:rPr>
                <w:rFonts w:ascii="Times New Roman" w:eastAsia="Times New Roman" w:hAnsi="Times New Roman"/>
                <w:b/>
                <w:sz w:val="24"/>
                <w:szCs w:val="24"/>
              </w:rPr>
              <w:lastRenderedPageBreak/>
              <w:t>501/2002 Sb. přímo do novely vyhlášky.</w:t>
            </w:r>
          </w:p>
          <w:p w:rsidR="00C54A78" w:rsidRDefault="00C54A78" w:rsidP="00C91338">
            <w:pPr>
              <w:spacing w:after="0"/>
              <w:jc w:val="both"/>
              <w:rPr>
                <w:rFonts w:ascii="Times New Roman" w:eastAsia="Times New Roman" w:hAnsi="Times New Roman"/>
                <w:b/>
                <w:sz w:val="24"/>
                <w:szCs w:val="24"/>
              </w:rPr>
            </w:pPr>
          </w:p>
          <w:p w:rsidR="00CF7495" w:rsidRDefault="00CF7495" w:rsidP="00BE7AF3">
            <w:pPr>
              <w:spacing w:after="0"/>
              <w:jc w:val="both"/>
              <w:rPr>
                <w:rFonts w:ascii="Times New Roman" w:eastAsia="Times New Roman" w:hAnsi="Times New Roman"/>
                <w:b/>
                <w:sz w:val="24"/>
                <w:szCs w:val="24"/>
                <w:highlight w:val="green"/>
              </w:rPr>
            </w:pPr>
            <w:r>
              <w:rPr>
                <w:rFonts w:ascii="Times New Roman" w:eastAsia="Times New Roman" w:hAnsi="Times New Roman"/>
                <w:b/>
                <w:sz w:val="24"/>
                <w:szCs w:val="24"/>
                <w:highlight w:val="green"/>
              </w:rPr>
              <w:t>MF</w:t>
            </w:r>
          </w:p>
          <w:p w:rsidR="00C54A78" w:rsidRDefault="00C54A78" w:rsidP="00BE7AF3">
            <w:pPr>
              <w:spacing w:after="0"/>
              <w:jc w:val="both"/>
              <w:rPr>
                <w:rFonts w:ascii="Times New Roman" w:hAnsi="Times New Roman"/>
                <w:b/>
                <w:color w:val="000000"/>
                <w:sz w:val="24"/>
                <w:szCs w:val="24"/>
              </w:rPr>
            </w:pPr>
            <w:r w:rsidRPr="00C54A78">
              <w:rPr>
                <w:rFonts w:ascii="Times New Roman" w:eastAsia="Times New Roman" w:hAnsi="Times New Roman"/>
                <w:b/>
                <w:sz w:val="24"/>
                <w:szCs w:val="24"/>
                <w:highlight w:val="green"/>
              </w:rPr>
              <w:t>Stávající vysv</w:t>
            </w:r>
            <w:r>
              <w:rPr>
                <w:rFonts w:ascii="Times New Roman" w:eastAsia="Times New Roman" w:hAnsi="Times New Roman"/>
                <w:b/>
                <w:sz w:val="24"/>
                <w:szCs w:val="24"/>
                <w:highlight w:val="green"/>
              </w:rPr>
              <w:t>ětlení považujeme za dostatečné</w:t>
            </w:r>
            <w:r w:rsidRPr="00BE7AF3">
              <w:rPr>
                <w:rFonts w:ascii="Times New Roman" w:eastAsia="Times New Roman" w:hAnsi="Times New Roman"/>
                <w:b/>
                <w:sz w:val="24"/>
                <w:szCs w:val="24"/>
                <w:highlight w:val="green"/>
              </w:rPr>
              <w:t xml:space="preserve">; </w:t>
            </w:r>
            <w:r w:rsidR="00BE7AF3">
              <w:rPr>
                <w:rFonts w:ascii="Times New Roman" w:eastAsia="Times New Roman" w:hAnsi="Times New Roman"/>
                <w:b/>
                <w:sz w:val="24"/>
                <w:szCs w:val="24"/>
                <w:highlight w:val="green"/>
              </w:rPr>
              <w:t>navrhovaná</w:t>
            </w:r>
            <w:r w:rsidR="00BE7AF3" w:rsidRPr="00BE7AF3">
              <w:rPr>
                <w:rFonts w:ascii="Times New Roman" w:eastAsia="Times New Roman" w:hAnsi="Times New Roman"/>
                <w:b/>
                <w:sz w:val="24"/>
                <w:szCs w:val="24"/>
                <w:highlight w:val="green"/>
              </w:rPr>
              <w:t xml:space="preserve"> </w:t>
            </w:r>
            <w:r w:rsidRPr="00BE7AF3">
              <w:rPr>
                <w:rFonts w:ascii="Times New Roman" w:eastAsia="Times New Roman" w:hAnsi="Times New Roman"/>
                <w:b/>
                <w:sz w:val="24"/>
                <w:szCs w:val="24"/>
                <w:highlight w:val="green"/>
              </w:rPr>
              <w:t xml:space="preserve">úprava </w:t>
            </w:r>
            <w:r w:rsidR="00BE7AF3">
              <w:rPr>
                <w:rFonts w:ascii="Times New Roman" w:eastAsia="Times New Roman" w:hAnsi="Times New Roman"/>
                <w:b/>
                <w:sz w:val="24"/>
                <w:szCs w:val="24"/>
                <w:highlight w:val="green"/>
              </w:rPr>
              <w:t xml:space="preserve">splňuje obecné </w:t>
            </w:r>
            <w:r w:rsidRPr="00BE7AF3">
              <w:rPr>
                <w:rFonts w:ascii="Times New Roman" w:eastAsia="Times New Roman" w:hAnsi="Times New Roman"/>
                <w:b/>
                <w:sz w:val="24"/>
                <w:szCs w:val="24"/>
                <w:highlight w:val="green"/>
              </w:rPr>
              <w:t>princip</w:t>
            </w:r>
            <w:r w:rsidR="00BE7AF3">
              <w:rPr>
                <w:rFonts w:ascii="Times New Roman" w:eastAsia="Times New Roman" w:hAnsi="Times New Roman"/>
                <w:b/>
                <w:sz w:val="24"/>
                <w:szCs w:val="24"/>
                <w:highlight w:val="green"/>
              </w:rPr>
              <w:t>y</w:t>
            </w:r>
            <w:r w:rsidRPr="00BE7AF3">
              <w:rPr>
                <w:rFonts w:ascii="Times New Roman" w:eastAsia="Times New Roman" w:hAnsi="Times New Roman"/>
                <w:b/>
                <w:sz w:val="24"/>
                <w:szCs w:val="24"/>
                <w:highlight w:val="green"/>
              </w:rPr>
              <w:t xml:space="preserve"> legislativních pravid</w:t>
            </w:r>
            <w:r w:rsidR="00BE7AF3">
              <w:rPr>
                <w:rFonts w:ascii="Times New Roman" w:eastAsia="Times New Roman" w:hAnsi="Times New Roman"/>
                <w:b/>
                <w:sz w:val="24"/>
                <w:szCs w:val="24"/>
                <w:highlight w:val="green"/>
              </w:rPr>
              <w:t>el</w:t>
            </w:r>
            <w:r w:rsidRPr="00BE7AF3">
              <w:rPr>
                <w:rFonts w:ascii="Times New Roman" w:eastAsia="Times New Roman" w:hAnsi="Times New Roman"/>
                <w:b/>
                <w:sz w:val="24"/>
                <w:szCs w:val="24"/>
                <w:highlight w:val="green"/>
              </w:rPr>
              <w:t xml:space="preserve"> a není</w:t>
            </w:r>
            <w:r w:rsidR="00BE7AF3" w:rsidRPr="00BE7AF3">
              <w:rPr>
                <w:rFonts w:ascii="Times New Roman" w:eastAsia="Times New Roman" w:hAnsi="Times New Roman"/>
                <w:b/>
                <w:sz w:val="24"/>
                <w:szCs w:val="24"/>
                <w:highlight w:val="green"/>
              </w:rPr>
              <w:t xml:space="preserve"> tedy </w:t>
            </w:r>
            <w:r w:rsidRPr="00BE7AF3">
              <w:rPr>
                <w:rFonts w:ascii="Times New Roman" w:eastAsia="Times New Roman" w:hAnsi="Times New Roman"/>
                <w:b/>
                <w:sz w:val="24"/>
                <w:szCs w:val="24"/>
                <w:highlight w:val="green"/>
              </w:rPr>
              <w:t>specifikem účetní legislativy.</w:t>
            </w:r>
          </w:p>
        </w:tc>
      </w:tr>
      <w:tr w:rsidR="00F531C1" w:rsidRPr="000509D2" w:rsidTr="00F531C1">
        <w:tc>
          <w:tcPr>
            <w:tcW w:w="338" w:type="pct"/>
            <w:tcBorders>
              <w:top w:val="single" w:sz="4" w:space="0" w:color="auto"/>
              <w:left w:val="single" w:sz="4" w:space="0" w:color="auto"/>
              <w:bottom w:val="single" w:sz="4" w:space="0" w:color="auto"/>
              <w:right w:val="single" w:sz="4" w:space="0" w:color="auto"/>
            </w:tcBorders>
          </w:tcPr>
          <w:p w:rsidR="00F531C1" w:rsidRPr="000509D2" w:rsidRDefault="00F531C1" w:rsidP="00B2102B">
            <w:pPr>
              <w:spacing w:after="0"/>
              <w:jc w:val="both"/>
              <w:rPr>
                <w:rFonts w:ascii="Times New Roman" w:hAnsi="Times New Roman"/>
                <w:color w:val="000000"/>
                <w:sz w:val="24"/>
                <w:szCs w:val="24"/>
              </w:rPr>
            </w:pPr>
          </w:p>
        </w:tc>
        <w:tc>
          <w:tcPr>
            <w:tcW w:w="202" w:type="pct"/>
            <w:tcBorders>
              <w:top w:val="single" w:sz="4" w:space="0" w:color="auto"/>
              <w:left w:val="single" w:sz="4" w:space="0" w:color="auto"/>
              <w:bottom w:val="single" w:sz="4" w:space="0" w:color="auto"/>
              <w:right w:val="single" w:sz="4" w:space="0" w:color="auto"/>
            </w:tcBorders>
          </w:tcPr>
          <w:p w:rsidR="00F531C1" w:rsidRPr="000509D2" w:rsidRDefault="00F531C1" w:rsidP="00B2102B">
            <w:pPr>
              <w:spacing w:after="0"/>
              <w:jc w:val="both"/>
              <w:rPr>
                <w:rFonts w:ascii="Times New Roman" w:hAnsi="Times New Roman"/>
                <w:color w:val="000000"/>
                <w:sz w:val="24"/>
                <w:szCs w:val="24"/>
              </w:rPr>
            </w:pPr>
          </w:p>
        </w:tc>
        <w:tc>
          <w:tcPr>
            <w:tcW w:w="150" w:type="pct"/>
            <w:tcBorders>
              <w:top w:val="single" w:sz="4" w:space="0" w:color="auto"/>
              <w:left w:val="single" w:sz="4" w:space="0" w:color="auto"/>
              <w:bottom w:val="single" w:sz="4" w:space="0" w:color="auto"/>
              <w:right w:val="single" w:sz="4" w:space="0" w:color="auto"/>
            </w:tcBorders>
          </w:tcPr>
          <w:p w:rsidR="00F531C1" w:rsidRPr="006B3C3D" w:rsidRDefault="00F531C1" w:rsidP="00B2102B">
            <w:pPr>
              <w:jc w:val="both"/>
              <w:rPr>
                <w:rFonts w:ascii="Times New Roman" w:hAnsi="Times New Roman"/>
                <w:color w:val="000000"/>
                <w:sz w:val="24"/>
                <w:szCs w:val="24"/>
              </w:rPr>
            </w:pPr>
            <w:r w:rsidRPr="006B3C3D">
              <w:rPr>
                <w:rFonts w:ascii="Times New Roman" w:hAnsi="Times New Roman"/>
                <w:color w:val="000000"/>
                <w:sz w:val="24"/>
                <w:szCs w:val="24"/>
              </w:rPr>
              <w:t>D</w:t>
            </w:r>
          </w:p>
        </w:tc>
        <w:tc>
          <w:tcPr>
            <w:tcW w:w="1304" w:type="pct"/>
            <w:tcBorders>
              <w:top w:val="single" w:sz="4" w:space="0" w:color="auto"/>
              <w:left w:val="single" w:sz="4" w:space="0" w:color="auto"/>
              <w:bottom w:val="single" w:sz="4" w:space="0" w:color="auto"/>
              <w:right w:val="single" w:sz="4" w:space="0" w:color="auto"/>
            </w:tcBorders>
          </w:tcPr>
          <w:p w:rsidR="00F531C1" w:rsidRPr="006B3C3D" w:rsidRDefault="00F531C1" w:rsidP="006B3C3D">
            <w:pPr>
              <w:spacing w:after="0"/>
              <w:jc w:val="both"/>
              <w:rPr>
                <w:rFonts w:ascii="Times New Roman" w:eastAsia="Times New Roman" w:hAnsi="Times New Roman"/>
                <w:sz w:val="24"/>
                <w:szCs w:val="24"/>
              </w:rPr>
            </w:pPr>
            <w:r w:rsidRPr="006B3C3D">
              <w:rPr>
                <w:rFonts w:ascii="Times New Roman" w:eastAsia="Times New Roman" w:hAnsi="Times New Roman"/>
                <w:sz w:val="24"/>
                <w:szCs w:val="24"/>
              </w:rPr>
              <w:t>Ustanovení § 6 vyhlášky</w:t>
            </w:r>
          </w:p>
          <w:p w:rsidR="00F531C1" w:rsidRPr="000509D2" w:rsidRDefault="00F531C1" w:rsidP="006B3C3D">
            <w:pPr>
              <w:spacing w:after="0"/>
              <w:jc w:val="both"/>
              <w:rPr>
                <w:rFonts w:ascii="Times New Roman" w:eastAsia="Times New Roman" w:hAnsi="Times New Roman"/>
                <w:sz w:val="24"/>
                <w:szCs w:val="24"/>
              </w:rPr>
            </w:pPr>
            <w:r w:rsidRPr="006B3C3D">
              <w:rPr>
                <w:rFonts w:ascii="Times New Roman" w:eastAsia="Times New Roman" w:hAnsi="Times New Roman"/>
                <w:sz w:val="24"/>
                <w:szCs w:val="24"/>
              </w:rPr>
              <w:t xml:space="preserve">Domníváme se, že úprava odepisování by měla být </w:t>
            </w:r>
            <w:r w:rsidRPr="006B3C3D">
              <w:rPr>
                <w:rFonts w:ascii="Times New Roman" w:eastAsia="Times New Roman" w:hAnsi="Times New Roman"/>
                <w:sz w:val="24"/>
                <w:szCs w:val="24"/>
              </w:rPr>
              <w:lastRenderedPageBreak/>
              <w:t>konzistentní a pro snazší orientaci účetních jednotek by měla být v rámci vyhlášky řešena pouze na jednom místě. Doporučujeme proto přesunout celou problematiku odepisování z ustanovení § 6 odst. 3 písm. c) vyhlášky do ustanovení § 56 vyhlášky. Chtěli bychom také upozornit, že i v rámci ustanovení § 7 odst. 10 vyhlášky je řešena problematika odepisování, která by věcně měla být upravena v ustanovení § 56 vyhlášky. Navrhujeme proto úpravy odepisování sjednotit v ustanovení § 56 vyhlášky.</w:t>
            </w:r>
          </w:p>
        </w:tc>
        <w:tc>
          <w:tcPr>
            <w:tcW w:w="1352" w:type="pct"/>
            <w:tcBorders>
              <w:top w:val="single" w:sz="4" w:space="0" w:color="auto"/>
              <w:left w:val="single" w:sz="4" w:space="0" w:color="auto"/>
              <w:bottom w:val="single" w:sz="4" w:space="0" w:color="auto"/>
              <w:right w:val="single" w:sz="4" w:space="0" w:color="auto"/>
            </w:tcBorders>
          </w:tcPr>
          <w:p w:rsidR="00F531C1" w:rsidRDefault="00F531C1" w:rsidP="00B2102B">
            <w:pPr>
              <w:spacing w:after="0"/>
              <w:jc w:val="both"/>
              <w:rPr>
                <w:rFonts w:ascii="Times New Roman" w:hAnsi="Times New Roman"/>
                <w:b/>
                <w:color w:val="000000"/>
                <w:sz w:val="24"/>
                <w:szCs w:val="24"/>
              </w:rPr>
            </w:pPr>
            <w:r>
              <w:rPr>
                <w:rFonts w:ascii="Times New Roman" w:hAnsi="Times New Roman"/>
                <w:b/>
                <w:color w:val="000000"/>
                <w:sz w:val="24"/>
                <w:szCs w:val="24"/>
              </w:rPr>
              <w:lastRenderedPageBreak/>
              <w:t>Nevyhověno.</w:t>
            </w:r>
          </w:p>
          <w:p w:rsidR="00F531C1" w:rsidRPr="006B3C3D" w:rsidRDefault="00F531C1" w:rsidP="00B2102B">
            <w:pPr>
              <w:spacing w:after="0"/>
              <w:jc w:val="both"/>
              <w:rPr>
                <w:rFonts w:ascii="Times New Roman" w:hAnsi="Times New Roman"/>
                <w:color w:val="000000"/>
                <w:sz w:val="24"/>
                <w:szCs w:val="24"/>
              </w:rPr>
            </w:pPr>
            <w:r w:rsidRPr="006B3C3D">
              <w:rPr>
                <w:rFonts w:ascii="Times New Roman" w:hAnsi="Times New Roman"/>
                <w:color w:val="000000"/>
                <w:sz w:val="24"/>
                <w:szCs w:val="24"/>
              </w:rPr>
              <w:t xml:space="preserve">Smyslem novely vyhlášky není měnit zásadním způsobem její </w:t>
            </w:r>
            <w:r w:rsidRPr="006B3C3D">
              <w:rPr>
                <w:rFonts w:ascii="Times New Roman" w:hAnsi="Times New Roman"/>
                <w:color w:val="000000"/>
                <w:sz w:val="24"/>
                <w:szCs w:val="24"/>
              </w:rPr>
              <w:lastRenderedPageBreak/>
              <w:t>strukturu.</w:t>
            </w:r>
          </w:p>
          <w:p w:rsidR="00F531C1" w:rsidRPr="000509D2" w:rsidRDefault="00F531C1" w:rsidP="00B2102B">
            <w:pPr>
              <w:spacing w:after="0"/>
              <w:jc w:val="both"/>
              <w:rPr>
                <w:rFonts w:ascii="Times New Roman" w:hAnsi="Times New Roman"/>
                <w:b/>
                <w:color w:val="000000"/>
                <w:sz w:val="24"/>
                <w:szCs w:val="24"/>
              </w:rPr>
            </w:pPr>
          </w:p>
        </w:tc>
        <w:tc>
          <w:tcPr>
            <w:tcW w:w="1654" w:type="pct"/>
            <w:tcBorders>
              <w:top w:val="single" w:sz="4" w:space="0" w:color="auto"/>
              <w:left w:val="single" w:sz="4" w:space="0" w:color="auto"/>
              <w:bottom w:val="single" w:sz="4" w:space="0" w:color="auto"/>
              <w:right w:val="single" w:sz="4" w:space="0" w:color="auto"/>
            </w:tcBorders>
          </w:tcPr>
          <w:p w:rsidR="00F531C1" w:rsidRDefault="002B6B4A" w:rsidP="00B2102B">
            <w:pPr>
              <w:spacing w:after="0"/>
              <w:jc w:val="both"/>
              <w:rPr>
                <w:rFonts w:ascii="Times New Roman" w:hAnsi="Times New Roman"/>
                <w:b/>
                <w:color w:val="000000"/>
                <w:sz w:val="24"/>
                <w:szCs w:val="24"/>
              </w:rPr>
            </w:pPr>
            <w:r>
              <w:rPr>
                <w:rFonts w:ascii="Times New Roman" w:hAnsi="Times New Roman"/>
                <w:b/>
                <w:color w:val="000000"/>
                <w:sz w:val="24"/>
                <w:szCs w:val="24"/>
              </w:rPr>
              <w:lastRenderedPageBreak/>
              <w:t>Bereme na vědomí</w:t>
            </w:r>
            <w:r w:rsidR="00B2102B">
              <w:rPr>
                <w:rFonts w:ascii="Times New Roman" w:hAnsi="Times New Roman"/>
                <w:b/>
                <w:color w:val="000000"/>
                <w:sz w:val="24"/>
                <w:szCs w:val="24"/>
              </w:rPr>
              <w:t>.</w:t>
            </w:r>
          </w:p>
          <w:p w:rsidR="00B2102B" w:rsidRDefault="00B2102B" w:rsidP="00B2102B">
            <w:pPr>
              <w:spacing w:after="0"/>
              <w:jc w:val="both"/>
              <w:rPr>
                <w:rFonts w:ascii="Times New Roman" w:hAnsi="Times New Roman"/>
                <w:b/>
                <w:color w:val="000000"/>
                <w:sz w:val="24"/>
                <w:szCs w:val="24"/>
              </w:rPr>
            </w:pPr>
          </w:p>
          <w:p w:rsidR="00B2102B" w:rsidRDefault="00B2102B" w:rsidP="00B2102B">
            <w:pPr>
              <w:spacing w:after="0"/>
              <w:jc w:val="both"/>
              <w:rPr>
                <w:rFonts w:ascii="Times New Roman" w:hAnsi="Times New Roman"/>
                <w:b/>
                <w:color w:val="000000"/>
                <w:sz w:val="24"/>
                <w:szCs w:val="24"/>
              </w:rPr>
            </w:pPr>
            <w:r>
              <w:rPr>
                <w:rFonts w:ascii="Times New Roman" w:hAnsi="Times New Roman"/>
                <w:b/>
                <w:color w:val="000000"/>
                <w:sz w:val="24"/>
                <w:szCs w:val="24"/>
              </w:rPr>
              <w:t xml:space="preserve">Domníváme se, že navrhovaná úprava </w:t>
            </w:r>
            <w:r>
              <w:rPr>
                <w:rFonts w:ascii="Times New Roman" w:hAnsi="Times New Roman"/>
                <w:b/>
                <w:color w:val="000000"/>
                <w:sz w:val="24"/>
                <w:szCs w:val="24"/>
              </w:rPr>
              <w:lastRenderedPageBreak/>
              <w:t>ustanovení § 6 vyhlášky je nesystematická.</w:t>
            </w:r>
          </w:p>
        </w:tc>
      </w:tr>
      <w:tr w:rsidR="00F531C1" w:rsidRPr="000509D2" w:rsidTr="00F531C1">
        <w:tc>
          <w:tcPr>
            <w:tcW w:w="338" w:type="pct"/>
            <w:tcBorders>
              <w:top w:val="single" w:sz="4" w:space="0" w:color="auto"/>
              <w:left w:val="single" w:sz="4" w:space="0" w:color="auto"/>
              <w:bottom w:val="single" w:sz="4" w:space="0" w:color="auto"/>
              <w:right w:val="single" w:sz="4" w:space="0" w:color="auto"/>
            </w:tcBorders>
          </w:tcPr>
          <w:p w:rsidR="00F531C1" w:rsidRPr="000509D2" w:rsidRDefault="00F531C1" w:rsidP="00B2102B">
            <w:pPr>
              <w:spacing w:after="0"/>
              <w:jc w:val="both"/>
              <w:rPr>
                <w:rFonts w:ascii="Times New Roman" w:hAnsi="Times New Roman"/>
                <w:color w:val="000000"/>
                <w:sz w:val="24"/>
                <w:szCs w:val="24"/>
              </w:rPr>
            </w:pPr>
          </w:p>
        </w:tc>
        <w:tc>
          <w:tcPr>
            <w:tcW w:w="202" w:type="pct"/>
            <w:tcBorders>
              <w:top w:val="single" w:sz="4" w:space="0" w:color="auto"/>
              <w:left w:val="single" w:sz="4" w:space="0" w:color="auto"/>
              <w:bottom w:val="single" w:sz="4" w:space="0" w:color="auto"/>
              <w:right w:val="single" w:sz="4" w:space="0" w:color="auto"/>
            </w:tcBorders>
          </w:tcPr>
          <w:p w:rsidR="00F531C1" w:rsidRPr="000509D2" w:rsidRDefault="00F531C1" w:rsidP="00B2102B">
            <w:pPr>
              <w:spacing w:after="0"/>
              <w:jc w:val="both"/>
              <w:rPr>
                <w:rFonts w:ascii="Times New Roman" w:hAnsi="Times New Roman"/>
                <w:color w:val="000000"/>
                <w:sz w:val="24"/>
                <w:szCs w:val="24"/>
              </w:rPr>
            </w:pPr>
          </w:p>
        </w:tc>
        <w:tc>
          <w:tcPr>
            <w:tcW w:w="150" w:type="pct"/>
            <w:tcBorders>
              <w:top w:val="single" w:sz="4" w:space="0" w:color="auto"/>
              <w:left w:val="single" w:sz="4" w:space="0" w:color="auto"/>
              <w:bottom w:val="single" w:sz="4" w:space="0" w:color="auto"/>
              <w:right w:val="single" w:sz="4" w:space="0" w:color="auto"/>
            </w:tcBorders>
          </w:tcPr>
          <w:p w:rsidR="00F531C1" w:rsidRPr="006B3C3D" w:rsidRDefault="00F531C1" w:rsidP="00B2102B">
            <w:pPr>
              <w:jc w:val="both"/>
              <w:rPr>
                <w:rFonts w:ascii="Times New Roman" w:hAnsi="Times New Roman"/>
                <w:color w:val="000000"/>
                <w:sz w:val="24"/>
                <w:szCs w:val="24"/>
              </w:rPr>
            </w:pPr>
            <w:r w:rsidRPr="006B3C3D">
              <w:rPr>
                <w:rFonts w:ascii="Times New Roman" w:hAnsi="Times New Roman"/>
                <w:color w:val="000000"/>
                <w:sz w:val="24"/>
                <w:szCs w:val="24"/>
              </w:rPr>
              <w:t>D</w:t>
            </w:r>
          </w:p>
        </w:tc>
        <w:tc>
          <w:tcPr>
            <w:tcW w:w="1304" w:type="pct"/>
            <w:tcBorders>
              <w:top w:val="single" w:sz="4" w:space="0" w:color="auto"/>
              <w:left w:val="single" w:sz="4" w:space="0" w:color="auto"/>
              <w:bottom w:val="single" w:sz="4" w:space="0" w:color="auto"/>
              <w:right w:val="single" w:sz="4" w:space="0" w:color="auto"/>
            </w:tcBorders>
          </w:tcPr>
          <w:p w:rsidR="00F531C1" w:rsidRPr="006B3C3D" w:rsidRDefault="00F531C1" w:rsidP="006B3C3D">
            <w:pPr>
              <w:spacing w:after="0"/>
              <w:jc w:val="both"/>
              <w:rPr>
                <w:rFonts w:ascii="Times New Roman" w:eastAsia="Times New Roman" w:hAnsi="Times New Roman"/>
                <w:sz w:val="24"/>
                <w:szCs w:val="24"/>
              </w:rPr>
            </w:pPr>
            <w:r w:rsidRPr="006B3C3D">
              <w:rPr>
                <w:rFonts w:ascii="Times New Roman" w:eastAsia="Times New Roman" w:hAnsi="Times New Roman"/>
                <w:sz w:val="24"/>
                <w:szCs w:val="24"/>
              </w:rPr>
              <w:t>Ustanovení § 61c vyhlášky</w:t>
            </w:r>
          </w:p>
          <w:p w:rsidR="00F531C1" w:rsidRPr="000509D2" w:rsidRDefault="00F531C1" w:rsidP="006B3C3D">
            <w:pPr>
              <w:spacing w:after="0"/>
              <w:jc w:val="both"/>
              <w:rPr>
                <w:rFonts w:ascii="Times New Roman" w:eastAsia="Times New Roman" w:hAnsi="Times New Roman"/>
                <w:sz w:val="24"/>
                <w:szCs w:val="24"/>
              </w:rPr>
            </w:pPr>
            <w:r w:rsidRPr="006B3C3D">
              <w:rPr>
                <w:rFonts w:ascii="Times New Roman" w:eastAsia="Times New Roman" w:hAnsi="Times New Roman"/>
                <w:sz w:val="24"/>
                <w:szCs w:val="24"/>
              </w:rPr>
              <w:t xml:space="preserve">Domníváme se, že jednou ze základních metod účetního výkaznictví je konzistence účetních metod, proto se z navrhovaných variant pro úpravu ustanovení § 61c vyhlášky spíše přikláníme k variantě II, podle níž budou všechna obdobná aktiva oceněna stejnou účetní metodou, a účetní jednotka tak nebude zatížena administrativně náročnou evidencí </w:t>
            </w:r>
            <w:r w:rsidRPr="006B3C3D">
              <w:rPr>
                <w:rFonts w:ascii="Times New Roman" w:eastAsia="Times New Roman" w:hAnsi="Times New Roman"/>
                <w:sz w:val="24"/>
                <w:szCs w:val="24"/>
              </w:rPr>
              <w:lastRenderedPageBreak/>
              <w:t>včetně povinnosti tyto informace složitě popisovat a analyzovat v účetních závěrkách.</w:t>
            </w:r>
          </w:p>
        </w:tc>
        <w:tc>
          <w:tcPr>
            <w:tcW w:w="1352" w:type="pct"/>
            <w:tcBorders>
              <w:top w:val="single" w:sz="4" w:space="0" w:color="auto"/>
              <w:left w:val="single" w:sz="4" w:space="0" w:color="auto"/>
              <w:bottom w:val="single" w:sz="4" w:space="0" w:color="auto"/>
              <w:right w:val="single" w:sz="4" w:space="0" w:color="auto"/>
            </w:tcBorders>
          </w:tcPr>
          <w:p w:rsidR="00F531C1" w:rsidRDefault="00F531C1" w:rsidP="00B2102B">
            <w:pPr>
              <w:spacing w:after="0"/>
              <w:jc w:val="both"/>
              <w:rPr>
                <w:rFonts w:ascii="Times New Roman" w:hAnsi="Times New Roman"/>
                <w:b/>
                <w:color w:val="000000"/>
                <w:sz w:val="24"/>
                <w:szCs w:val="24"/>
              </w:rPr>
            </w:pPr>
            <w:r w:rsidRPr="00E044CA">
              <w:rPr>
                <w:rFonts w:ascii="Times New Roman" w:hAnsi="Times New Roman"/>
                <w:b/>
                <w:color w:val="000000"/>
                <w:sz w:val="24"/>
                <w:szCs w:val="24"/>
              </w:rPr>
              <w:lastRenderedPageBreak/>
              <w:t>Bere se na vědomí.</w:t>
            </w:r>
          </w:p>
          <w:p w:rsidR="00F531C1" w:rsidRPr="006B3C3D" w:rsidRDefault="00F531C1" w:rsidP="00B2102B">
            <w:pPr>
              <w:spacing w:after="0"/>
              <w:jc w:val="both"/>
              <w:rPr>
                <w:rFonts w:ascii="Times New Roman" w:hAnsi="Times New Roman"/>
                <w:color w:val="000000"/>
                <w:sz w:val="24"/>
                <w:szCs w:val="24"/>
              </w:rPr>
            </w:pPr>
            <w:r w:rsidRPr="006B3C3D">
              <w:rPr>
                <w:rFonts w:ascii="Times New Roman" w:hAnsi="Times New Roman"/>
                <w:color w:val="000000"/>
                <w:sz w:val="24"/>
                <w:szCs w:val="24"/>
              </w:rPr>
              <w:t>S ohledem na vyjádření a argumentaci připomínkových míst bylo rozhodnuto o realizaci varianty II.</w:t>
            </w:r>
          </w:p>
        </w:tc>
        <w:tc>
          <w:tcPr>
            <w:tcW w:w="1654" w:type="pct"/>
            <w:tcBorders>
              <w:top w:val="single" w:sz="4" w:space="0" w:color="auto"/>
              <w:left w:val="single" w:sz="4" w:space="0" w:color="auto"/>
              <w:bottom w:val="single" w:sz="4" w:space="0" w:color="auto"/>
              <w:right w:val="single" w:sz="4" w:space="0" w:color="auto"/>
            </w:tcBorders>
          </w:tcPr>
          <w:p w:rsidR="00F531C1" w:rsidRPr="00E044CA" w:rsidRDefault="00B2102B" w:rsidP="00B2102B">
            <w:pPr>
              <w:spacing w:after="0"/>
              <w:jc w:val="both"/>
              <w:rPr>
                <w:rFonts w:ascii="Times New Roman" w:hAnsi="Times New Roman"/>
                <w:b/>
                <w:color w:val="000000"/>
                <w:sz w:val="24"/>
                <w:szCs w:val="24"/>
              </w:rPr>
            </w:pPr>
            <w:r>
              <w:rPr>
                <w:rFonts w:ascii="Times New Roman" w:hAnsi="Times New Roman"/>
                <w:b/>
                <w:color w:val="000000"/>
                <w:sz w:val="24"/>
                <w:szCs w:val="24"/>
              </w:rPr>
              <w:t>Bereme na vědomí.</w:t>
            </w:r>
          </w:p>
        </w:tc>
      </w:tr>
      <w:tr w:rsidR="00F531C1" w:rsidRPr="0051681C" w:rsidTr="00F531C1">
        <w:tc>
          <w:tcPr>
            <w:tcW w:w="338" w:type="pct"/>
            <w:tcBorders>
              <w:top w:val="single" w:sz="4" w:space="0" w:color="auto"/>
              <w:left w:val="single" w:sz="4" w:space="0" w:color="auto"/>
              <w:bottom w:val="single" w:sz="4" w:space="0" w:color="auto"/>
              <w:right w:val="single" w:sz="4" w:space="0" w:color="auto"/>
            </w:tcBorders>
          </w:tcPr>
          <w:p w:rsidR="00F531C1" w:rsidRPr="000509D2" w:rsidRDefault="00F531C1" w:rsidP="00B2102B">
            <w:pPr>
              <w:spacing w:after="0"/>
              <w:jc w:val="both"/>
              <w:rPr>
                <w:rFonts w:ascii="Times New Roman" w:hAnsi="Times New Roman"/>
                <w:color w:val="000000"/>
                <w:sz w:val="24"/>
                <w:szCs w:val="24"/>
              </w:rPr>
            </w:pPr>
          </w:p>
        </w:tc>
        <w:tc>
          <w:tcPr>
            <w:tcW w:w="202" w:type="pct"/>
            <w:tcBorders>
              <w:top w:val="single" w:sz="4" w:space="0" w:color="auto"/>
              <w:left w:val="single" w:sz="4" w:space="0" w:color="auto"/>
              <w:bottom w:val="single" w:sz="4" w:space="0" w:color="auto"/>
              <w:right w:val="single" w:sz="4" w:space="0" w:color="auto"/>
            </w:tcBorders>
          </w:tcPr>
          <w:p w:rsidR="00F531C1" w:rsidRPr="000509D2" w:rsidRDefault="00F531C1" w:rsidP="00B2102B">
            <w:pPr>
              <w:spacing w:after="0"/>
              <w:jc w:val="both"/>
              <w:rPr>
                <w:rFonts w:ascii="Times New Roman" w:hAnsi="Times New Roman"/>
                <w:color w:val="000000"/>
                <w:sz w:val="24"/>
                <w:szCs w:val="24"/>
              </w:rPr>
            </w:pPr>
          </w:p>
        </w:tc>
        <w:tc>
          <w:tcPr>
            <w:tcW w:w="150" w:type="pct"/>
            <w:tcBorders>
              <w:top w:val="single" w:sz="4" w:space="0" w:color="auto"/>
              <w:left w:val="single" w:sz="4" w:space="0" w:color="auto"/>
              <w:bottom w:val="single" w:sz="4" w:space="0" w:color="auto"/>
              <w:right w:val="single" w:sz="4" w:space="0" w:color="auto"/>
            </w:tcBorders>
          </w:tcPr>
          <w:p w:rsidR="00F531C1" w:rsidRPr="000509D2" w:rsidRDefault="00F531C1" w:rsidP="006B3C3D">
            <w:pPr>
              <w:jc w:val="both"/>
              <w:rPr>
                <w:rFonts w:ascii="Times New Roman" w:hAnsi="Times New Roman"/>
                <w:color w:val="000000"/>
                <w:sz w:val="24"/>
                <w:szCs w:val="24"/>
              </w:rPr>
            </w:pPr>
            <w:r>
              <w:rPr>
                <w:rFonts w:ascii="Times New Roman" w:hAnsi="Times New Roman"/>
                <w:color w:val="000000"/>
                <w:sz w:val="24"/>
                <w:szCs w:val="24"/>
              </w:rPr>
              <w:t>D</w:t>
            </w:r>
          </w:p>
        </w:tc>
        <w:tc>
          <w:tcPr>
            <w:tcW w:w="1304" w:type="pct"/>
            <w:tcBorders>
              <w:top w:val="single" w:sz="4" w:space="0" w:color="auto"/>
              <w:left w:val="single" w:sz="4" w:space="0" w:color="auto"/>
              <w:bottom w:val="single" w:sz="4" w:space="0" w:color="auto"/>
              <w:right w:val="single" w:sz="4" w:space="0" w:color="auto"/>
            </w:tcBorders>
          </w:tcPr>
          <w:p w:rsidR="00F531C1" w:rsidRPr="006B3C3D" w:rsidRDefault="00F531C1" w:rsidP="006B3C3D">
            <w:pPr>
              <w:spacing w:after="0"/>
              <w:jc w:val="both"/>
              <w:rPr>
                <w:rFonts w:ascii="Times New Roman" w:eastAsia="Times New Roman" w:hAnsi="Times New Roman"/>
                <w:sz w:val="24"/>
                <w:szCs w:val="24"/>
              </w:rPr>
            </w:pPr>
            <w:r w:rsidRPr="006B3C3D">
              <w:rPr>
                <w:rFonts w:ascii="Times New Roman" w:eastAsia="Times New Roman" w:hAnsi="Times New Roman"/>
                <w:sz w:val="24"/>
                <w:szCs w:val="24"/>
              </w:rPr>
              <w:t>Ustanovení § 54c vyhlášky</w:t>
            </w:r>
          </w:p>
          <w:p w:rsidR="00F531C1" w:rsidRPr="000509D2" w:rsidRDefault="00F531C1" w:rsidP="006B3C3D">
            <w:pPr>
              <w:spacing w:after="0"/>
              <w:jc w:val="both"/>
              <w:rPr>
                <w:rFonts w:ascii="Times New Roman" w:eastAsia="Times New Roman" w:hAnsi="Times New Roman"/>
                <w:sz w:val="24"/>
                <w:szCs w:val="24"/>
              </w:rPr>
            </w:pPr>
            <w:r w:rsidRPr="006B3C3D">
              <w:rPr>
                <w:rFonts w:ascii="Times New Roman" w:eastAsia="Times New Roman" w:hAnsi="Times New Roman"/>
                <w:sz w:val="24"/>
                <w:szCs w:val="24"/>
              </w:rPr>
              <w:t xml:space="preserve">Již v souvislosti se zapracováním přeměn pro jiné účetní jednotky než jsou obchodní korporace (např. svěřenské fondy, pokud se řídí vyhláškou), jsme upozorňovali na problém specifických požadavků těchto účetních jednotek. Domníváme se, že vyhláška by jim měla poskytovat základní návod pro postup při přeměnách, reflektovat jejich specifika a odpovídat jejich potřebám. Návrh ustanovení § 54c vyhlášky však pro ně stanoví úplně stejné postupy jako pro obchodní korporace, což může v praxi činit zásadní výkladové a aplikační problémy. Z důvodové zprávy rovněž nevyplývá, že by byla provedena analýza potřeb těchto účetních jednotek. Tato problematika také nebyla diskutována v rámci odborné veřejnosti. Doporučujeme proto toto ustanovení dopracovat a </w:t>
            </w:r>
            <w:r w:rsidRPr="006B3C3D">
              <w:rPr>
                <w:rFonts w:ascii="Times New Roman" w:eastAsia="Times New Roman" w:hAnsi="Times New Roman"/>
                <w:sz w:val="24"/>
                <w:szCs w:val="24"/>
              </w:rPr>
              <w:lastRenderedPageBreak/>
              <w:t>zohlednit specifika dotčených účetních jednotek.</w:t>
            </w:r>
          </w:p>
        </w:tc>
        <w:tc>
          <w:tcPr>
            <w:tcW w:w="1352" w:type="pct"/>
            <w:tcBorders>
              <w:top w:val="single" w:sz="4" w:space="0" w:color="auto"/>
              <w:left w:val="single" w:sz="4" w:space="0" w:color="auto"/>
              <w:bottom w:val="single" w:sz="4" w:space="0" w:color="auto"/>
              <w:right w:val="single" w:sz="4" w:space="0" w:color="auto"/>
            </w:tcBorders>
          </w:tcPr>
          <w:p w:rsidR="00F531C1" w:rsidRDefault="00F531C1" w:rsidP="00B2102B">
            <w:pPr>
              <w:spacing w:after="0"/>
              <w:jc w:val="both"/>
              <w:rPr>
                <w:rFonts w:ascii="Times New Roman" w:hAnsi="Times New Roman"/>
                <w:b/>
                <w:color w:val="000000"/>
                <w:sz w:val="24"/>
                <w:szCs w:val="24"/>
              </w:rPr>
            </w:pPr>
            <w:r>
              <w:rPr>
                <w:rFonts w:ascii="Times New Roman" w:hAnsi="Times New Roman"/>
                <w:b/>
                <w:color w:val="000000"/>
                <w:sz w:val="24"/>
                <w:szCs w:val="24"/>
              </w:rPr>
              <w:lastRenderedPageBreak/>
              <w:t>Nevyhověno.</w:t>
            </w:r>
          </w:p>
          <w:p w:rsidR="00F531C1" w:rsidRPr="006B3C3D" w:rsidRDefault="00F531C1" w:rsidP="00B2102B">
            <w:pPr>
              <w:spacing w:after="0"/>
              <w:jc w:val="both"/>
              <w:rPr>
                <w:rFonts w:ascii="Times New Roman" w:hAnsi="Times New Roman"/>
                <w:color w:val="000000"/>
                <w:sz w:val="24"/>
                <w:szCs w:val="24"/>
              </w:rPr>
            </w:pPr>
            <w:r w:rsidRPr="006B3C3D">
              <w:rPr>
                <w:rFonts w:ascii="Times New Roman" w:hAnsi="Times New Roman"/>
                <w:color w:val="000000"/>
                <w:sz w:val="24"/>
                <w:szCs w:val="24"/>
              </w:rPr>
              <w:t xml:space="preserve">Smyslem účetnictví, je zachytit ekonomickou nebo právní realitu formalizovaným způsobem. Konkrétní postupy účtování použité při přeměnách účetních jednotek jiných, než jsou obchodní korporace, vycházejí z právních předpisů, které konkrétní typ přeměny upravují. </w:t>
            </w:r>
          </w:p>
          <w:p w:rsidR="00F531C1" w:rsidRPr="006B3C3D" w:rsidRDefault="00F531C1" w:rsidP="00B2102B">
            <w:pPr>
              <w:spacing w:after="0"/>
              <w:jc w:val="both"/>
              <w:rPr>
                <w:rFonts w:ascii="Times New Roman" w:hAnsi="Times New Roman"/>
                <w:b/>
                <w:color w:val="000000"/>
                <w:sz w:val="24"/>
                <w:szCs w:val="24"/>
              </w:rPr>
            </w:pPr>
          </w:p>
          <w:p w:rsidR="00F531C1" w:rsidRPr="006B3C3D" w:rsidRDefault="00F531C1" w:rsidP="00B2102B">
            <w:pPr>
              <w:spacing w:after="0"/>
              <w:jc w:val="both"/>
              <w:rPr>
                <w:rFonts w:ascii="Times New Roman" w:hAnsi="Times New Roman"/>
                <w:b/>
                <w:color w:val="000000"/>
                <w:sz w:val="24"/>
                <w:szCs w:val="24"/>
              </w:rPr>
            </w:pPr>
          </w:p>
        </w:tc>
        <w:tc>
          <w:tcPr>
            <w:tcW w:w="1654" w:type="pct"/>
            <w:tcBorders>
              <w:top w:val="single" w:sz="4" w:space="0" w:color="auto"/>
              <w:left w:val="single" w:sz="4" w:space="0" w:color="auto"/>
              <w:bottom w:val="single" w:sz="4" w:space="0" w:color="auto"/>
              <w:right w:val="single" w:sz="4" w:space="0" w:color="auto"/>
            </w:tcBorders>
          </w:tcPr>
          <w:p w:rsidR="00F531C1" w:rsidRPr="008A3FF9" w:rsidRDefault="00151D8A" w:rsidP="00B2102B">
            <w:pPr>
              <w:spacing w:after="0"/>
              <w:jc w:val="both"/>
              <w:rPr>
                <w:rFonts w:ascii="Times New Roman" w:hAnsi="Times New Roman"/>
                <w:b/>
                <w:color w:val="000000"/>
                <w:sz w:val="24"/>
                <w:szCs w:val="24"/>
              </w:rPr>
            </w:pPr>
            <w:r w:rsidRPr="008A3FF9">
              <w:rPr>
                <w:rFonts w:ascii="Times New Roman" w:hAnsi="Times New Roman"/>
                <w:b/>
                <w:color w:val="000000"/>
                <w:sz w:val="24"/>
                <w:szCs w:val="24"/>
              </w:rPr>
              <w:t>Bereme na vědomí</w:t>
            </w:r>
            <w:r w:rsidR="00B2102B" w:rsidRPr="008A3FF9">
              <w:rPr>
                <w:rFonts w:ascii="Times New Roman" w:hAnsi="Times New Roman"/>
                <w:b/>
                <w:color w:val="000000"/>
                <w:sz w:val="24"/>
                <w:szCs w:val="24"/>
              </w:rPr>
              <w:t>.</w:t>
            </w:r>
          </w:p>
          <w:p w:rsidR="00B2102B" w:rsidRPr="008A3FF9" w:rsidRDefault="00B2102B" w:rsidP="00B2102B">
            <w:pPr>
              <w:spacing w:after="0"/>
              <w:jc w:val="both"/>
              <w:rPr>
                <w:rFonts w:ascii="Times New Roman" w:hAnsi="Times New Roman"/>
                <w:b/>
                <w:color w:val="000000"/>
                <w:sz w:val="24"/>
                <w:szCs w:val="24"/>
              </w:rPr>
            </w:pPr>
          </w:p>
          <w:p w:rsidR="00B2102B" w:rsidRPr="008A3FF9" w:rsidRDefault="00B2102B" w:rsidP="00B2102B">
            <w:pPr>
              <w:spacing w:after="0"/>
              <w:jc w:val="both"/>
              <w:rPr>
                <w:rFonts w:ascii="Times New Roman" w:hAnsi="Times New Roman"/>
                <w:b/>
                <w:color w:val="000000"/>
                <w:sz w:val="24"/>
                <w:szCs w:val="24"/>
              </w:rPr>
            </w:pPr>
            <w:r w:rsidRPr="008A3FF9">
              <w:rPr>
                <w:rFonts w:ascii="Times New Roman" w:hAnsi="Times New Roman"/>
                <w:b/>
                <w:color w:val="000000"/>
                <w:sz w:val="24"/>
                <w:szCs w:val="24"/>
              </w:rPr>
              <w:t xml:space="preserve">Domníváme se, že z navrhovaného znění ustanovení § 54c vyhlášky vyplývá, že je účetní jednotka v případě přeměn povinna postupovat stejně jako v případě přeměny obchodní korporace. Domníváme se proto, že by z navrhovaného znění vyhlášky mělo být pro účetní jednotku zřejmé, že se takový postup použije přiměřeně. </w:t>
            </w:r>
          </w:p>
          <w:p w:rsidR="00B96A28" w:rsidRPr="008A3FF9" w:rsidRDefault="00B96A28" w:rsidP="00C54A78">
            <w:pPr>
              <w:spacing w:after="0"/>
              <w:jc w:val="both"/>
              <w:rPr>
                <w:rFonts w:ascii="Times New Roman" w:hAnsi="Times New Roman"/>
                <w:b/>
                <w:color w:val="000000"/>
                <w:sz w:val="24"/>
                <w:szCs w:val="24"/>
                <w:highlight w:val="green"/>
              </w:rPr>
            </w:pPr>
          </w:p>
          <w:p w:rsidR="001E4BE8" w:rsidRPr="008A3FF9" w:rsidRDefault="001E4BE8" w:rsidP="001E4BE8">
            <w:pPr>
              <w:keepNext/>
              <w:keepLines/>
              <w:spacing w:after="0" w:line="240" w:lineRule="auto"/>
              <w:jc w:val="both"/>
              <w:rPr>
                <w:rFonts w:ascii="Times New Roman" w:hAnsi="Times New Roman"/>
                <w:b/>
                <w:color w:val="000000"/>
                <w:sz w:val="24"/>
                <w:szCs w:val="24"/>
                <w:highlight w:val="green"/>
              </w:rPr>
            </w:pPr>
            <w:bookmarkStart w:id="0" w:name="_GoBack"/>
            <w:bookmarkEnd w:id="0"/>
          </w:p>
          <w:p w:rsidR="00B96A28" w:rsidRPr="008A3FF9" w:rsidRDefault="00B96A28" w:rsidP="005040FD">
            <w:pPr>
              <w:spacing w:after="0"/>
              <w:jc w:val="both"/>
              <w:rPr>
                <w:rFonts w:ascii="Times New Roman" w:hAnsi="Times New Roman"/>
                <w:b/>
                <w:color w:val="000000"/>
                <w:sz w:val="24"/>
                <w:szCs w:val="24"/>
                <w:highlight w:val="green"/>
              </w:rPr>
            </w:pPr>
          </w:p>
        </w:tc>
      </w:tr>
    </w:tbl>
    <w:p w:rsidR="00194256" w:rsidRPr="000509D2" w:rsidRDefault="00194256">
      <w:pPr>
        <w:jc w:val="both"/>
        <w:rPr>
          <w:rFonts w:ascii="Times New Roman" w:hAnsi="Times New Roman"/>
          <w:sz w:val="24"/>
          <w:szCs w:val="24"/>
        </w:rPr>
      </w:pPr>
    </w:p>
    <w:sectPr w:rsidR="00194256" w:rsidRPr="000509D2" w:rsidSect="001B746B">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1E" w:rsidRDefault="009C671E" w:rsidP="00BF4485">
      <w:pPr>
        <w:spacing w:after="0" w:line="240" w:lineRule="auto"/>
      </w:pPr>
      <w:r>
        <w:separator/>
      </w:r>
    </w:p>
  </w:endnote>
  <w:endnote w:type="continuationSeparator" w:id="0">
    <w:p w:rsidR="009C671E" w:rsidRDefault="009C671E" w:rsidP="00BF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319065"/>
      <w:docPartObj>
        <w:docPartGallery w:val="Page Numbers (Bottom of Page)"/>
        <w:docPartUnique/>
      </w:docPartObj>
    </w:sdtPr>
    <w:sdtEndPr/>
    <w:sdtContent>
      <w:p w:rsidR="00B2102B" w:rsidRDefault="00F3326F">
        <w:pPr>
          <w:pStyle w:val="Zpat"/>
          <w:jc w:val="right"/>
        </w:pPr>
        <w:r>
          <w:fldChar w:fldCharType="begin"/>
        </w:r>
        <w:r>
          <w:instrText>PAGE   \* MERGEFORMAT</w:instrText>
        </w:r>
        <w:r>
          <w:fldChar w:fldCharType="separate"/>
        </w:r>
        <w:r w:rsidR="00CF7495">
          <w:rPr>
            <w:noProof/>
          </w:rPr>
          <w:t>6</w:t>
        </w:r>
        <w:r>
          <w:rPr>
            <w:noProof/>
          </w:rPr>
          <w:fldChar w:fldCharType="end"/>
        </w:r>
      </w:p>
    </w:sdtContent>
  </w:sdt>
  <w:p w:rsidR="00B2102B" w:rsidRDefault="00B210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1E" w:rsidRDefault="009C671E" w:rsidP="00BF4485">
      <w:pPr>
        <w:spacing w:after="0" w:line="240" w:lineRule="auto"/>
      </w:pPr>
      <w:r>
        <w:separator/>
      </w:r>
    </w:p>
  </w:footnote>
  <w:footnote w:type="continuationSeparator" w:id="0">
    <w:p w:rsidR="009C671E" w:rsidRDefault="009C671E" w:rsidP="00BF44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29A"/>
    <w:multiLevelType w:val="hybridMultilevel"/>
    <w:tmpl w:val="AAD43A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29E5A4B"/>
    <w:multiLevelType w:val="hybridMultilevel"/>
    <w:tmpl w:val="DAD8264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169E4E68"/>
    <w:multiLevelType w:val="hybridMultilevel"/>
    <w:tmpl w:val="55309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890453"/>
    <w:multiLevelType w:val="hybridMultilevel"/>
    <w:tmpl w:val="D91EF8BA"/>
    <w:lvl w:ilvl="0" w:tplc="E79839A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nsid w:val="42810F4E"/>
    <w:multiLevelType w:val="hybridMultilevel"/>
    <w:tmpl w:val="604CB5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1F05DB"/>
    <w:multiLevelType w:val="hybridMultilevel"/>
    <w:tmpl w:val="1F0A4BCA"/>
    <w:lvl w:ilvl="0" w:tplc="F182BA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E0E01EB"/>
    <w:multiLevelType w:val="hybridMultilevel"/>
    <w:tmpl w:val="03A2CA2C"/>
    <w:lvl w:ilvl="0" w:tplc="0809000F">
      <w:start w:val="1"/>
      <w:numFmt w:val="decimal"/>
      <w:lvlText w:val="%1."/>
      <w:lvlJc w:val="left"/>
      <w:pPr>
        <w:ind w:left="720" w:hanging="360"/>
      </w:pPr>
    </w:lvl>
    <w:lvl w:ilvl="1" w:tplc="93C09992">
      <w:numFmt w:val="bullet"/>
      <w:lvlText w:val="-"/>
      <w:lvlJc w:val="left"/>
      <w:pPr>
        <w:ind w:left="1440" w:hanging="360"/>
      </w:pPr>
      <w:rPr>
        <w:rFonts w:ascii="Franklin Gothic Book" w:eastAsia="Times New Roman" w:hAnsi="Franklin Gothic Book"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5EBB65E6"/>
    <w:multiLevelType w:val="hybridMultilevel"/>
    <w:tmpl w:val="18DACF60"/>
    <w:lvl w:ilvl="0" w:tplc="4CB8950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1A13066"/>
    <w:multiLevelType w:val="hybridMultilevel"/>
    <w:tmpl w:val="8020CF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628A17D8"/>
    <w:multiLevelType w:val="hybridMultilevel"/>
    <w:tmpl w:val="095A3154"/>
    <w:lvl w:ilvl="0" w:tplc="B8D0BAA8">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63D066EB"/>
    <w:multiLevelType w:val="hybridMultilevel"/>
    <w:tmpl w:val="284A03E2"/>
    <w:lvl w:ilvl="0" w:tplc="E3689C78">
      <w:start w:val="1"/>
      <w:numFmt w:val="bullet"/>
      <w:lvlText w:val=""/>
      <w:lvlJc w:val="left"/>
      <w:pPr>
        <w:tabs>
          <w:tab w:val="num" w:pos="1920"/>
        </w:tabs>
        <w:ind w:left="19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8AB3370"/>
    <w:multiLevelType w:val="hybridMultilevel"/>
    <w:tmpl w:val="230E3D62"/>
    <w:lvl w:ilvl="0" w:tplc="0405000F">
      <w:start w:val="1"/>
      <w:numFmt w:val="decimal"/>
      <w:lvlText w:val="%1."/>
      <w:lvlJc w:val="left"/>
      <w:pPr>
        <w:tabs>
          <w:tab w:val="num" w:pos="780"/>
        </w:tabs>
        <w:ind w:left="780" w:hanging="360"/>
      </w:pPr>
    </w:lvl>
    <w:lvl w:ilvl="1" w:tplc="04050019">
      <w:start w:val="1"/>
      <w:numFmt w:val="lowerLetter"/>
      <w:lvlText w:val="%2."/>
      <w:lvlJc w:val="left"/>
      <w:pPr>
        <w:tabs>
          <w:tab w:val="num" w:pos="1500"/>
        </w:tabs>
        <w:ind w:left="1500" w:hanging="360"/>
      </w:pPr>
    </w:lvl>
    <w:lvl w:ilvl="2" w:tplc="0405001B">
      <w:start w:val="1"/>
      <w:numFmt w:val="lowerRoman"/>
      <w:lvlText w:val="%3."/>
      <w:lvlJc w:val="right"/>
      <w:pPr>
        <w:tabs>
          <w:tab w:val="num" w:pos="2220"/>
        </w:tabs>
        <w:ind w:left="2220" w:hanging="180"/>
      </w:pPr>
    </w:lvl>
    <w:lvl w:ilvl="3" w:tplc="0405000F">
      <w:start w:val="1"/>
      <w:numFmt w:val="decimal"/>
      <w:lvlText w:val="%4."/>
      <w:lvlJc w:val="left"/>
      <w:pPr>
        <w:tabs>
          <w:tab w:val="num" w:pos="2940"/>
        </w:tabs>
        <w:ind w:left="2940" w:hanging="360"/>
      </w:pPr>
    </w:lvl>
    <w:lvl w:ilvl="4" w:tplc="04050019">
      <w:start w:val="1"/>
      <w:numFmt w:val="lowerLetter"/>
      <w:lvlText w:val="%5."/>
      <w:lvlJc w:val="left"/>
      <w:pPr>
        <w:tabs>
          <w:tab w:val="num" w:pos="3660"/>
        </w:tabs>
        <w:ind w:left="3660" w:hanging="360"/>
      </w:pPr>
    </w:lvl>
    <w:lvl w:ilvl="5" w:tplc="0405001B">
      <w:start w:val="1"/>
      <w:numFmt w:val="lowerRoman"/>
      <w:lvlText w:val="%6."/>
      <w:lvlJc w:val="right"/>
      <w:pPr>
        <w:tabs>
          <w:tab w:val="num" w:pos="4380"/>
        </w:tabs>
        <w:ind w:left="4380" w:hanging="180"/>
      </w:pPr>
    </w:lvl>
    <w:lvl w:ilvl="6" w:tplc="0405000F">
      <w:start w:val="1"/>
      <w:numFmt w:val="decimal"/>
      <w:lvlText w:val="%7."/>
      <w:lvlJc w:val="left"/>
      <w:pPr>
        <w:tabs>
          <w:tab w:val="num" w:pos="5100"/>
        </w:tabs>
        <w:ind w:left="5100" w:hanging="360"/>
      </w:pPr>
    </w:lvl>
    <w:lvl w:ilvl="7" w:tplc="04050019">
      <w:start w:val="1"/>
      <w:numFmt w:val="lowerLetter"/>
      <w:lvlText w:val="%8."/>
      <w:lvlJc w:val="left"/>
      <w:pPr>
        <w:tabs>
          <w:tab w:val="num" w:pos="5820"/>
        </w:tabs>
        <w:ind w:left="5820" w:hanging="360"/>
      </w:pPr>
    </w:lvl>
    <w:lvl w:ilvl="8" w:tplc="0405001B">
      <w:start w:val="1"/>
      <w:numFmt w:val="lowerRoman"/>
      <w:lvlText w:val="%9."/>
      <w:lvlJc w:val="right"/>
      <w:pPr>
        <w:tabs>
          <w:tab w:val="num" w:pos="6540"/>
        </w:tabs>
        <w:ind w:left="6540" w:hanging="180"/>
      </w:pPr>
    </w:lvl>
  </w:abstractNum>
  <w:abstractNum w:abstractNumId="13">
    <w:nsid w:val="6A4476B3"/>
    <w:multiLevelType w:val="hybridMultilevel"/>
    <w:tmpl w:val="21D201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7E775F62"/>
    <w:multiLevelType w:val="hybridMultilevel"/>
    <w:tmpl w:val="1F6827AA"/>
    <w:lvl w:ilvl="0" w:tplc="2960905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4"/>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8"/>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EE"/>
    <w:rsid w:val="0000539F"/>
    <w:rsid w:val="00010D80"/>
    <w:rsid w:val="00012ED9"/>
    <w:rsid w:val="00015001"/>
    <w:rsid w:val="000353FC"/>
    <w:rsid w:val="00040A36"/>
    <w:rsid w:val="000509D2"/>
    <w:rsid w:val="00051ADE"/>
    <w:rsid w:val="00057183"/>
    <w:rsid w:val="000572B6"/>
    <w:rsid w:val="00060112"/>
    <w:rsid w:val="00065B12"/>
    <w:rsid w:val="0007636D"/>
    <w:rsid w:val="00085016"/>
    <w:rsid w:val="00085750"/>
    <w:rsid w:val="00085E1E"/>
    <w:rsid w:val="000A0910"/>
    <w:rsid w:val="000B674A"/>
    <w:rsid w:val="000B6982"/>
    <w:rsid w:val="000C2535"/>
    <w:rsid w:val="001005A1"/>
    <w:rsid w:val="00100EBA"/>
    <w:rsid w:val="00103C3C"/>
    <w:rsid w:val="00103D85"/>
    <w:rsid w:val="001054FE"/>
    <w:rsid w:val="001113CF"/>
    <w:rsid w:val="00115454"/>
    <w:rsid w:val="00115F8D"/>
    <w:rsid w:val="00121A00"/>
    <w:rsid w:val="001229FA"/>
    <w:rsid w:val="00122BA9"/>
    <w:rsid w:val="001328C1"/>
    <w:rsid w:val="00133980"/>
    <w:rsid w:val="001372B5"/>
    <w:rsid w:val="00142A5C"/>
    <w:rsid w:val="00147925"/>
    <w:rsid w:val="00151D8A"/>
    <w:rsid w:val="001544BE"/>
    <w:rsid w:val="00160EA1"/>
    <w:rsid w:val="001665F1"/>
    <w:rsid w:val="00171DAB"/>
    <w:rsid w:val="00190DE2"/>
    <w:rsid w:val="00193F43"/>
    <w:rsid w:val="00194006"/>
    <w:rsid w:val="00194256"/>
    <w:rsid w:val="001A7D85"/>
    <w:rsid w:val="001B3CED"/>
    <w:rsid w:val="001B746B"/>
    <w:rsid w:val="001C3AB7"/>
    <w:rsid w:val="001C4BD0"/>
    <w:rsid w:val="001C4FA1"/>
    <w:rsid w:val="001D2ADE"/>
    <w:rsid w:val="001D5C2C"/>
    <w:rsid w:val="001E4BE8"/>
    <w:rsid w:val="001E56FA"/>
    <w:rsid w:val="001F2C69"/>
    <w:rsid w:val="001F518C"/>
    <w:rsid w:val="00203F04"/>
    <w:rsid w:val="00210AE1"/>
    <w:rsid w:val="00225D5D"/>
    <w:rsid w:val="00233D9D"/>
    <w:rsid w:val="0023746E"/>
    <w:rsid w:val="00240F71"/>
    <w:rsid w:val="002436C7"/>
    <w:rsid w:val="00244D2B"/>
    <w:rsid w:val="00250C31"/>
    <w:rsid w:val="00255C37"/>
    <w:rsid w:val="002564F7"/>
    <w:rsid w:val="00263FD1"/>
    <w:rsid w:val="0026568F"/>
    <w:rsid w:val="002662A5"/>
    <w:rsid w:val="00271D50"/>
    <w:rsid w:val="00276D8F"/>
    <w:rsid w:val="00292DD0"/>
    <w:rsid w:val="00294F9A"/>
    <w:rsid w:val="002A0523"/>
    <w:rsid w:val="002B0957"/>
    <w:rsid w:val="002B5F8E"/>
    <w:rsid w:val="002B6B4A"/>
    <w:rsid w:val="002C079A"/>
    <w:rsid w:val="002C38D6"/>
    <w:rsid w:val="002C4644"/>
    <w:rsid w:val="002C56EA"/>
    <w:rsid w:val="002D1B74"/>
    <w:rsid w:val="002D7E44"/>
    <w:rsid w:val="002E5349"/>
    <w:rsid w:val="002E6019"/>
    <w:rsid w:val="002F1C4D"/>
    <w:rsid w:val="002F2AC3"/>
    <w:rsid w:val="002F338B"/>
    <w:rsid w:val="002F3BCC"/>
    <w:rsid w:val="00310200"/>
    <w:rsid w:val="00321337"/>
    <w:rsid w:val="0032423E"/>
    <w:rsid w:val="00325CDF"/>
    <w:rsid w:val="00326B8A"/>
    <w:rsid w:val="003333B8"/>
    <w:rsid w:val="00346427"/>
    <w:rsid w:val="00346E9B"/>
    <w:rsid w:val="003472CC"/>
    <w:rsid w:val="00355FEF"/>
    <w:rsid w:val="00364279"/>
    <w:rsid w:val="003742BB"/>
    <w:rsid w:val="003832A8"/>
    <w:rsid w:val="0039473B"/>
    <w:rsid w:val="00394C6C"/>
    <w:rsid w:val="003A03C0"/>
    <w:rsid w:val="003A407F"/>
    <w:rsid w:val="003B5478"/>
    <w:rsid w:val="003C626F"/>
    <w:rsid w:val="003D243D"/>
    <w:rsid w:val="003D29B0"/>
    <w:rsid w:val="003D4E9E"/>
    <w:rsid w:val="003D7525"/>
    <w:rsid w:val="003E21CF"/>
    <w:rsid w:val="003E5F96"/>
    <w:rsid w:val="003E7977"/>
    <w:rsid w:val="003F260A"/>
    <w:rsid w:val="003F40B4"/>
    <w:rsid w:val="00405220"/>
    <w:rsid w:val="00405E73"/>
    <w:rsid w:val="00410C1C"/>
    <w:rsid w:val="004214E2"/>
    <w:rsid w:val="004236CA"/>
    <w:rsid w:val="004307E5"/>
    <w:rsid w:val="004310D2"/>
    <w:rsid w:val="00433278"/>
    <w:rsid w:val="0044012C"/>
    <w:rsid w:val="004458FB"/>
    <w:rsid w:val="00451CE1"/>
    <w:rsid w:val="00451FC8"/>
    <w:rsid w:val="00454A51"/>
    <w:rsid w:val="0046085D"/>
    <w:rsid w:val="00465B6C"/>
    <w:rsid w:val="0046637B"/>
    <w:rsid w:val="00473159"/>
    <w:rsid w:val="00484458"/>
    <w:rsid w:val="004900BA"/>
    <w:rsid w:val="00493CB3"/>
    <w:rsid w:val="00494FF0"/>
    <w:rsid w:val="004954E2"/>
    <w:rsid w:val="004B435B"/>
    <w:rsid w:val="004B632F"/>
    <w:rsid w:val="004B6744"/>
    <w:rsid w:val="004B7BCB"/>
    <w:rsid w:val="004C3E8A"/>
    <w:rsid w:val="004D2CDF"/>
    <w:rsid w:val="004E14C0"/>
    <w:rsid w:val="004E6AAB"/>
    <w:rsid w:val="004F0AA4"/>
    <w:rsid w:val="004F1AA2"/>
    <w:rsid w:val="004F58CF"/>
    <w:rsid w:val="004F6666"/>
    <w:rsid w:val="005040FD"/>
    <w:rsid w:val="00513775"/>
    <w:rsid w:val="00514823"/>
    <w:rsid w:val="0051681C"/>
    <w:rsid w:val="005176FD"/>
    <w:rsid w:val="0051771D"/>
    <w:rsid w:val="00520B29"/>
    <w:rsid w:val="0053777B"/>
    <w:rsid w:val="00542548"/>
    <w:rsid w:val="0055520C"/>
    <w:rsid w:val="00562396"/>
    <w:rsid w:val="00570294"/>
    <w:rsid w:val="00571552"/>
    <w:rsid w:val="0057624C"/>
    <w:rsid w:val="00577F8B"/>
    <w:rsid w:val="00586342"/>
    <w:rsid w:val="0059082B"/>
    <w:rsid w:val="005A2DB0"/>
    <w:rsid w:val="005B1356"/>
    <w:rsid w:val="005B35E5"/>
    <w:rsid w:val="005B51E4"/>
    <w:rsid w:val="005C6484"/>
    <w:rsid w:val="005C776B"/>
    <w:rsid w:val="005D0F1B"/>
    <w:rsid w:val="005D2B65"/>
    <w:rsid w:val="005D44A6"/>
    <w:rsid w:val="005D53D4"/>
    <w:rsid w:val="005D56F1"/>
    <w:rsid w:val="005D7A4A"/>
    <w:rsid w:val="005E2F09"/>
    <w:rsid w:val="005E536A"/>
    <w:rsid w:val="005E6632"/>
    <w:rsid w:val="005F1DA6"/>
    <w:rsid w:val="005F2EC2"/>
    <w:rsid w:val="005F3678"/>
    <w:rsid w:val="006020E8"/>
    <w:rsid w:val="0060481C"/>
    <w:rsid w:val="0060736B"/>
    <w:rsid w:val="0061525C"/>
    <w:rsid w:val="00616412"/>
    <w:rsid w:val="00617CD4"/>
    <w:rsid w:val="0062062C"/>
    <w:rsid w:val="00621D30"/>
    <w:rsid w:val="00624CCA"/>
    <w:rsid w:val="00630103"/>
    <w:rsid w:val="00632863"/>
    <w:rsid w:val="00637108"/>
    <w:rsid w:val="00643FA7"/>
    <w:rsid w:val="0065181F"/>
    <w:rsid w:val="0065387E"/>
    <w:rsid w:val="0065505D"/>
    <w:rsid w:val="00656B08"/>
    <w:rsid w:val="0066020F"/>
    <w:rsid w:val="00670FEF"/>
    <w:rsid w:val="00684333"/>
    <w:rsid w:val="00690E4A"/>
    <w:rsid w:val="00693700"/>
    <w:rsid w:val="00695932"/>
    <w:rsid w:val="006979C8"/>
    <w:rsid w:val="006A28F3"/>
    <w:rsid w:val="006A30D4"/>
    <w:rsid w:val="006A3B0E"/>
    <w:rsid w:val="006A4E3E"/>
    <w:rsid w:val="006A5FF6"/>
    <w:rsid w:val="006A7EA5"/>
    <w:rsid w:val="006B0788"/>
    <w:rsid w:val="006B3C3D"/>
    <w:rsid w:val="006C4FD9"/>
    <w:rsid w:val="006D00D7"/>
    <w:rsid w:val="006D0232"/>
    <w:rsid w:val="006E235F"/>
    <w:rsid w:val="006E5536"/>
    <w:rsid w:val="006F4BF3"/>
    <w:rsid w:val="00701F64"/>
    <w:rsid w:val="0070723D"/>
    <w:rsid w:val="00712623"/>
    <w:rsid w:val="00722513"/>
    <w:rsid w:val="0072325E"/>
    <w:rsid w:val="00725212"/>
    <w:rsid w:val="00730C42"/>
    <w:rsid w:val="00733673"/>
    <w:rsid w:val="00741242"/>
    <w:rsid w:val="0074559B"/>
    <w:rsid w:val="00751CCA"/>
    <w:rsid w:val="007A27FE"/>
    <w:rsid w:val="007A37E5"/>
    <w:rsid w:val="007A429C"/>
    <w:rsid w:val="007A453E"/>
    <w:rsid w:val="007A6FC8"/>
    <w:rsid w:val="007B0F13"/>
    <w:rsid w:val="007B360D"/>
    <w:rsid w:val="007C05B6"/>
    <w:rsid w:val="007C1A5A"/>
    <w:rsid w:val="007C4652"/>
    <w:rsid w:val="007D19A5"/>
    <w:rsid w:val="007E3577"/>
    <w:rsid w:val="007E5B3F"/>
    <w:rsid w:val="007F2469"/>
    <w:rsid w:val="007F24CF"/>
    <w:rsid w:val="007F53F4"/>
    <w:rsid w:val="008002B4"/>
    <w:rsid w:val="008204D7"/>
    <w:rsid w:val="0082574F"/>
    <w:rsid w:val="00835C41"/>
    <w:rsid w:val="00844118"/>
    <w:rsid w:val="008457F5"/>
    <w:rsid w:val="00846CA2"/>
    <w:rsid w:val="008478A9"/>
    <w:rsid w:val="00850964"/>
    <w:rsid w:val="00851C3F"/>
    <w:rsid w:val="00851C92"/>
    <w:rsid w:val="008525BB"/>
    <w:rsid w:val="00860475"/>
    <w:rsid w:val="00871297"/>
    <w:rsid w:val="008749D9"/>
    <w:rsid w:val="008806D6"/>
    <w:rsid w:val="00892312"/>
    <w:rsid w:val="008925E2"/>
    <w:rsid w:val="008A3FF9"/>
    <w:rsid w:val="008A6022"/>
    <w:rsid w:val="008B2D63"/>
    <w:rsid w:val="008B2F53"/>
    <w:rsid w:val="008C5F34"/>
    <w:rsid w:val="008C7FA1"/>
    <w:rsid w:val="008D1285"/>
    <w:rsid w:val="008D6C59"/>
    <w:rsid w:val="008F3C56"/>
    <w:rsid w:val="008F3FE0"/>
    <w:rsid w:val="008F4344"/>
    <w:rsid w:val="008F6548"/>
    <w:rsid w:val="00900CF3"/>
    <w:rsid w:val="00901DF8"/>
    <w:rsid w:val="00901E12"/>
    <w:rsid w:val="00906DBE"/>
    <w:rsid w:val="00907610"/>
    <w:rsid w:val="00910F20"/>
    <w:rsid w:val="00914585"/>
    <w:rsid w:val="0092266A"/>
    <w:rsid w:val="00925902"/>
    <w:rsid w:val="009265D7"/>
    <w:rsid w:val="00927781"/>
    <w:rsid w:val="00934947"/>
    <w:rsid w:val="00945A58"/>
    <w:rsid w:val="0095391C"/>
    <w:rsid w:val="00962850"/>
    <w:rsid w:val="0096572F"/>
    <w:rsid w:val="00965E61"/>
    <w:rsid w:val="00966510"/>
    <w:rsid w:val="00971E33"/>
    <w:rsid w:val="00972731"/>
    <w:rsid w:val="00972D1D"/>
    <w:rsid w:val="009765F4"/>
    <w:rsid w:val="00982C37"/>
    <w:rsid w:val="009843D9"/>
    <w:rsid w:val="009A11F0"/>
    <w:rsid w:val="009A409E"/>
    <w:rsid w:val="009A58E9"/>
    <w:rsid w:val="009B76AB"/>
    <w:rsid w:val="009C181D"/>
    <w:rsid w:val="009C671E"/>
    <w:rsid w:val="009D2D23"/>
    <w:rsid w:val="009E0E5F"/>
    <w:rsid w:val="009E1E52"/>
    <w:rsid w:val="009E2776"/>
    <w:rsid w:val="009E42E9"/>
    <w:rsid w:val="009E6F4F"/>
    <w:rsid w:val="009F6EAB"/>
    <w:rsid w:val="00A01FFF"/>
    <w:rsid w:val="00A129E6"/>
    <w:rsid w:val="00A148EA"/>
    <w:rsid w:val="00A17F14"/>
    <w:rsid w:val="00A21D22"/>
    <w:rsid w:val="00A22E40"/>
    <w:rsid w:val="00A30D85"/>
    <w:rsid w:val="00A317A2"/>
    <w:rsid w:val="00A338E6"/>
    <w:rsid w:val="00A4681F"/>
    <w:rsid w:val="00A472C2"/>
    <w:rsid w:val="00A50E86"/>
    <w:rsid w:val="00A575AE"/>
    <w:rsid w:val="00A657B2"/>
    <w:rsid w:val="00A70457"/>
    <w:rsid w:val="00A73111"/>
    <w:rsid w:val="00A802C1"/>
    <w:rsid w:val="00A80A58"/>
    <w:rsid w:val="00A82D78"/>
    <w:rsid w:val="00A82F09"/>
    <w:rsid w:val="00A831C6"/>
    <w:rsid w:val="00A86C57"/>
    <w:rsid w:val="00A9230A"/>
    <w:rsid w:val="00A93942"/>
    <w:rsid w:val="00AA3B76"/>
    <w:rsid w:val="00AA7DB4"/>
    <w:rsid w:val="00AB14A5"/>
    <w:rsid w:val="00AC4557"/>
    <w:rsid w:val="00AD0D4C"/>
    <w:rsid w:val="00AD0D9D"/>
    <w:rsid w:val="00AD78D6"/>
    <w:rsid w:val="00AE1D4A"/>
    <w:rsid w:val="00AE21A1"/>
    <w:rsid w:val="00AE3E37"/>
    <w:rsid w:val="00AE4E71"/>
    <w:rsid w:val="00AE5B47"/>
    <w:rsid w:val="00AE6BFA"/>
    <w:rsid w:val="00AE6D53"/>
    <w:rsid w:val="00AF0F63"/>
    <w:rsid w:val="00B066B6"/>
    <w:rsid w:val="00B06E54"/>
    <w:rsid w:val="00B2102B"/>
    <w:rsid w:val="00B226B2"/>
    <w:rsid w:val="00B26880"/>
    <w:rsid w:val="00B32793"/>
    <w:rsid w:val="00B5072D"/>
    <w:rsid w:val="00B567EE"/>
    <w:rsid w:val="00B627DA"/>
    <w:rsid w:val="00B63DEF"/>
    <w:rsid w:val="00B64F7B"/>
    <w:rsid w:val="00B66CAE"/>
    <w:rsid w:val="00B736E1"/>
    <w:rsid w:val="00B811D2"/>
    <w:rsid w:val="00B86EA8"/>
    <w:rsid w:val="00B93E0B"/>
    <w:rsid w:val="00B96A28"/>
    <w:rsid w:val="00B97EB1"/>
    <w:rsid w:val="00BB4E05"/>
    <w:rsid w:val="00BB5C0E"/>
    <w:rsid w:val="00BB684B"/>
    <w:rsid w:val="00BC1F5F"/>
    <w:rsid w:val="00BD0766"/>
    <w:rsid w:val="00BE7826"/>
    <w:rsid w:val="00BE7AF3"/>
    <w:rsid w:val="00BF4485"/>
    <w:rsid w:val="00C05C12"/>
    <w:rsid w:val="00C05C8D"/>
    <w:rsid w:val="00C15D94"/>
    <w:rsid w:val="00C21C10"/>
    <w:rsid w:val="00C23C42"/>
    <w:rsid w:val="00C24BE9"/>
    <w:rsid w:val="00C26AC9"/>
    <w:rsid w:val="00C30DBD"/>
    <w:rsid w:val="00C3148C"/>
    <w:rsid w:val="00C32794"/>
    <w:rsid w:val="00C35773"/>
    <w:rsid w:val="00C41700"/>
    <w:rsid w:val="00C44651"/>
    <w:rsid w:val="00C5027D"/>
    <w:rsid w:val="00C50A5B"/>
    <w:rsid w:val="00C546C2"/>
    <w:rsid w:val="00C54A78"/>
    <w:rsid w:val="00C57080"/>
    <w:rsid w:val="00C576E1"/>
    <w:rsid w:val="00C66D3A"/>
    <w:rsid w:val="00C70637"/>
    <w:rsid w:val="00C746D8"/>
    <w:rsid w:val="00C75FCD"/>
    <w:rsid w:val="00C84CF7"/>
    <w:rsid w:val="00C91338"/>
    <w:rsid w:val="00C943E0"/>
    <w:rsid w:val="00C963BC"/>
    <w:rsid w:val="00CA0D3F"/>
    <w:rsid w:val="00CB4940"/>
    <w:rsid w:val="00CB6AF9"/>
    <w:rsid w:val="00CC02E9"/>
    <w:rsid w:val="00CC285F"/>
    <w:rsid w:val="00CC2F61"/>
    <w:rsid w:val="00CD2598"/>
    <w:rsid w:val="00CD3587"/>
    <w:rsid w:val="00CD3E61"/>
    <w:rsid w:val="00CE6FDB"/>
    <w:rsid w:val="00CF0E82"/>
    <w:rsid w:val="00CF4AF7"/>
    <w:rsid w:val="00CF4D54"/>
    <w:rsid w:val="00CF7495"/>
    <w:rsid w:val="00D02DAC"/>
    <w:rsid w:val="00D14477"/>
    <w:rsid w:val="00D14CD7"/>
    <w:rsid w:val="00D1795F"/>
    <w:rsid w:val="00D21108"/>
    <w:rsid w:val="00D321A0"/>
    <w:rsid w:val="00D34D4E"/>
    <w:rsid w:val="00D56416"/>
    <w:rsid w:val="00D60636"/>
    <w:rsid w:val="00D61D39"/>
    <w:rsid w:val="00D65FBF"/>
    <w:rsid w:val="00D67C73"/>
    <w:rsid w:val="00D70114"/>
    <w:rsid w:val="00D920D4"/>
    <w:rsid w:val="00D9627A"/>
    <w:rsid w:val="00DA4EF5"/>
    <w:rsid w:val="00DB293D"/>
    <w:rsid w:val="00DB3E93"/>
    <w:rsid w:val="00DB685B"/>
    <w:rsid w:val="00DC6CAD"/>
    <w:rsid w:val="00DD03C9"/>
    <w:rsid w:val="00DD1B18"/>
    <w:rsid w:val="00DE0975"/>
    <w:rsid w:val="00DE2531"/>
    <w:rsid w:val="00DE3139"/>
    <w:rsid w:val="00DE5B02"/>
    <w:rsid w:val="00DE783A"/>
    <w:rsid w:val="00DE7997"/>
    <w:rsid w:val="00DF21DC"/>
    <w:rsid w:val="00DF76B1"/>
    <w:rsid w:val="00E01639"/>
    <w:rsid w:val="00E044CA"/>
    <w:rsid w:val="00E13CD3"/>
    <w:rsid w:val="00E227C7"/>
    <w:rsid w:val="00E32624"/>
    <w:rsid w:val="00E3521D"/>
    <w:rsid w:val="00E36DE9"/>
    <w:rsid w:val="00E37415"/>
    <w:rsid w:val="00E37A33"/>
    <w:rsid w:val="00E50219"/>
    <w:rsid w:val="00E50CB9"/>
    <w:rsid w:val="00E609B9"/>
    <w:rsid w:val="00E6789D"/>
    <w:rsid w:val="00E71451"/>
    <w:rsid w:val="00E74B80"/>
    <w:rsid w:val="00E84FE3"/>
    <w:rsid w:val="00E853D3"/>
    <w:rsid w:val="00E859EA"/>
    <w:rsid w:val="00E87C52"/>
    <w:rsid w:val="00E96AA7"/>
    <w:rsid w:val="00EC25CB"/>
    <w:rsid w:val="00ED1FF1"/>
    <w:rsid w:val="00ED49DD"/>
    <w:rsid w:val="00ED66F4"/>
    <w:rsid w:val="00ED715C"/>
    <w:rsid w:val="00EE6C59"/>
    <w:rsid w:val="00EE7026"/>
    <w:rsid w:val="00EF3246"/>
    <w:rsid w:val="00EF32DB"/>
    <w:rsid w:val="00EF32F6"/>
    <w:rsid w:val="00F036D5"/>
    <w:rsid w:val="00F04EFD"/>
    <w:rsid w:val="00F0624A"/>
    <w:rsid w:val="00F072DD"/>
    <w:rsid w:val="00F12B1A"/>
    <w:rsid w:val="00F12FF3"/>
    <w:rsid w:val="00F13B52"/>
    <w:rsid w:val="00F14A51"/>
    <w:rsid w:val="00F16B51"/>
    <w:rsid w:val="00F217C8"/>
    <w:rsid w:val="00F24EC5"/>
    <w:rsid w:val="00F26C76"/>
    <w:rsid w:val="00F3326F"/>
    <w:rsid w:val="00F33BCC"/>
    <w:rsid w:val="00F3727B"/>
    <w:rsid w:val="00F47E77"/>
    <w:rsid w:val="00F531C1"/>
    <w:rsid w:val="00F5482A"/>
    <w:rsid w:val="00F55190"/>
    <w:rsid w:val="00F56FDA"/>
    <w:rsid w:val="00F649B1"/>
    <w:rsid w:val="00F64CE4"/>
    <w:rsid w:val="00F651C8"/>
    <w:rsid w:val="00F662E6"/>
    <w:rsid w:val="00F80505"/>
    <w:rsid w:val="00F810E0"/>
    <w:rsid w:val="00F81926"/>
    <w:rsid w:val="00F82785"/>
    <w:rsid w:val="00F8312F"/>
    <w:rsid w:val="00F9192E"/>
    <w:rsid w:val="00FA0E65"/>
    <w:rsid w:val="00FB0471"/>
    <w:rsid w:val="00FB0B2C"/>
    <w:rsid w:val="00FB60D2"/>
    <w:rsid w:val="00FC0419"/>
    <w:rsid w:val="00FC315B"/>
    <w:rsid w:val="00FC4197"/>
    <w:rsid w:val="00FD03FA"/>
    <w:rsid w:val="00FE3846"/>
    <w:rsid w:val="00FE67B9"/>
    <w:rsid w:val="00FF1329"/>
    <w:rsid w:val="00FF4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5CDF"/>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AE6D53"/>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locked/>
    <w:rsid w:val="00D9627A"/>
    <w:rPr>
      <w:rFonts w:ascii="Times New Roman" w:hAnsi="Times New Roman" w:cs="Times New Roman"/>
      <w:sz w:val="2"/>
      <w:lang w:eastAsia="en-US"/>
    </w:rPr>
  </w:style>
  <w:style w:type="paragraph" w:styleId="Rozloendokumentu">
    <w:name w:val="Document Map"/>
    <w:basedOn w:val="Normln"/>
    <w:link w:val="RozloendokumentuChar"/>
    <w:uiPriority w:val="99"/>
    <w:semiHidden/>
    <w:rsid w:val="00B06E5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147925"/>
    <w:rPr>
      <w:rFonts w:ascii="Times New Roman" w:hAnsi="Times New Roman" w:cs="Times New Roman"/>
      <w:sz w:val="2"/>
      <w:lang w:eastAsia="en-US"/>
    </w:rPr>
  </w:style>
  <w:style w:type="paragraph" w:styleId="Odstavecseseznamem">
    <w:name w:val="List Paragraph"/>
    <w:basedOn w:val="Normln"/>
    <w:uiPriority w:val="99"/>
    <w:qFormat/>
    <w:rsid w:val="000C2535"/>
    <w:pPr>
      <w:spacing w:after="0" w:line="240" w:lineRule="auto"/>
      <w:ind w:left="720"/>
      <w:contextualSpacing/>
    </w:pPr>
    <w:rPr>
      <w:rFonts w:ascii="Arial" w:eastAsia="Times New Roman" w:hAnsi="Arial" w:cs="Arial"/>
      <w:sz w:val="24"/>
      <w:szCs w:val="24"/>
      <w:lang w:eastAsia="cs-CZ"/>
    </w:rPr>
  </w:style>
  <w:style w:type="paragraph" w:customStyle="1" w:styleId="Novelizanbod">
    <w:name w:val="Novelizační bod"/>
    <w:basedOn w:val="Normln"/>
    <w:next w:val="Normln"/>
    <w:uiPriority w:val="99"/>
    <w:rsid w:val="0046637B"/>
    <w:pPr>
      <w:keepNext/>
      <w:keepLines/>
      <w:numPr>
        <w:numId w:val="2"/>
      </w:numPr>
      <w:tabs>
        <w:tab w:val="left" w:pos="851"/>
      </w:tabs>
      <w:spacing w:before="480" w:after="120" w:line="240" w:lineRule="auto"/>
      <w:jc w:val="both"/>
    </w:pPr>
    <w:rPr>
      <w:rFonts w:ascii="Times New Roman" w:eastAsia="Times New Roman" w:hAnsi="Times New Roman"/>
      <w:sz w:val="24"/>
      <w:szCs w:val="20"/>
      <w:lang w:eastAsia="cs-CZ"/>
    </w:rPr>
  </w:style>
  <w:style w:type="character" w:styleId="Odkaznakoment">
    <w:name w:val="annotation reference"/>
    <w:basedOn w:val="Standardnpsmoodstavce"/>
    <w:uiPriority w:val="99"/>
    <w:semiHidden/>
    <w:unhideWhenUsed/>
    <w:rsid w:val="00A575AE"/>
    <w:rPr>
      <w:sz w:val="16"/>
      <w:szCs w:val="16"/>
    </w:rPr>
  </w:style>
  <w:style w:type="paragraph" w:styleId="Textkomente">
    <w:name w:val="annotation text"/>
    <w:basedOn w:val="Normln"/>
    <w:link w:val="TextkomenteChar"/>
    <w:uiPriority w:val="99"/>
    <w:semiHidden/>
    <w:unhideWhenUsed/>
    <w:rsid w:val="00A575AE"/>
    <w:pPr>
      <w:spacing w:line="240" w:lineRule="auto"/>
    </w:pPr>
    <w:rPr>
      <w:sz w:val="20"/>
      <w:szCs w:val="20"/>
    </w:rPr>
  </w:style>
  <w:style w:type="character" w:customStyle="1" w:styleId="TextkomenteChar">
    <w:name w:val="Text komentáře Char"/>
    <w:basedOn w:val="Standardnpsmoodstavce"/>
    <w:link w:val="Textkomente"/>
    <w:uiPriority w:val="99"/>
    <w:semiHidden/>
    <w:rsid w:val="00A575AE"/>
    <w:rPr>
      <w:sz w:val="20"/>
      <w:szCs w:val="20"/>
      <w:lang w:eastAsia="en-US"/>
    </w:rPr>
  </w:style>
  <w:style w:type="paragraph" w:styleId="Pedmtkomente">
    <w:name w:val="annotation subject"/>
    <w:basedOn w:val="Textkomente"/>
    <w:next w:val="Textkomente"/>
    <w:link w:val="PedmtkomenteChar"/>
    <w:uiPriority w:val="99"/>
    <w:semiHidden/>
    <w:unhideWhenUsed/>
    <w:rsid w:val="00A575AE"/>
    <w:rPr>
      <w:b/>
      <w:bCs/>
    </w:rPr>
  </w:style>
  <w:style w:type="character" w:customStyle="1" w:styleId="PedmtkomenteChar">
    <w:name w:val="Předmět komentáře Char"/>
    <w:basedOn w:val="TextkomenteChar"/>
    <w:link w:val="Pedmtkomente"/>
    <w:uiPriority w:val="99"/>
    <w:semiHidden/>
    <w:rsid w:val="00A575AE"/>
    <w:rPr>
      <w:b/>
      <w:bCs/>
      <w:sz w:val="20"/>
      <w:szCs w:val="20"/>
      <w:lang w:eastAsia="en-US"/>
    </w:rPr>
  </w:style>
  <w:style w:type="paragraph" w:styleId="Bezmezer">
    <w:name w:val="No Spacing"/>
    <w:basedOn w:val="Normln"/>
    <w:uiPriority w:val="1"/>
    <w:qFormat/>
    <w:rsid w:val="004B6744"/>
    <w:pPr>
      <w:spacing w:after="0" w:line="240" w:lineRule="auto"/>
    </w:pPr>
  </w:style>
  <w:style w:type="paragraph" w:customStyle="1" w:styleId="mcntmcntmsonormal2">
    <w:name w:val="mcntmcntmsonormal2"/>
    <w:basedOn w:val="Normln"/>
    <w:uiPriority w:val="99"/>
    <w:rsid w:val="00F9192E"/>
    <w:pPr>
      <w:spacing w:after="0" w:line="240" w:lineRule="auto"/>
    </w:pPr>
    <w:rPr>
      <w:rFonts w:ascii="Times New Roman" w:eastAsia="Times New Roman" w:hAnsi="Times New Roman"/>
      <w:sz w:val="24"/>
      <w:szCs w:val="24"/>
      <w:lang w:eastAsia="cs-CZ"/>
    </w:rPr>
  </w:style>
  <w:style w:type="paragraph" w:customStyle="1" w:styleId="mcntmcntmsolistparagraph2">
    <w:name w:val="mcntmcntmsolistparagraph2"/>
    <w:basedOn w:val="Normln"/>
    <w:uiPriority w:val="34"/>
    <w:rsid w:val="00F9192E"/>
    <w:pPr>
      <w:spacing w:after="0" w:line="240" w:lineRule="auto"/>
      <w:ind w:left="720"/>
    </w:pPr>
    <w:rPr>
      <w:rFonts w:ascii="Times New Roman" w:eastAsia="Times New Roman" w:hAnsi="Times New Roman"/>
      <w:sz w:val="24"/>
      <w:szCs w:val="24"/>
      <w:lang w:eastAsia="cs-CZ"/>
    </w:rPr>
  </w:style>
  <w:style w:type="character" w:styleId="Znakapoznpodarou">
    <w:name w:val="footnote reference"/>
    <w:basedOn w:val="Standardnpsmoodstavce"/>
    <w:uiPriority w:val="99"/>
    <w:semiHidden/>
    <w:unhideWhenUsed/>
    <w:rsid w:val="003742BB"/>
    <w:rPr>
      <w:vertAlign w:val="superscript"/>
    </w:rPr>
  </w:style>
  <w:style w:type="paragraph" w:customStyle="1" w:styleId="Default">
    <w:name w:val="Default"/>
    <w:basedOn w:val="Normln"/>
    <w:rsid w:val="00190DE2"/>
    <w:pPr>
      <w:autoSpaceDE w:val="0"/>
      <w:autoSpaceDN w:val="0"/>
      <w:spacing w:after="0" w:line="240" w:lineRule="auto"/>
    </w:pPr>
    <w:rPr>
      <w:rFonts w:ascii="Times New Roman" w:eastAsiaTheme="minorHAnsi" w:hAnsi="Times New Roman"/>
      <w:color w:val="000000"/>
      <w:sz w:val="24"/>
      <w:szCs w:val="24"/>
    </w:rPr>
  </w:style>
  <w:style w:type="paragraph" w:styleId="Revize">
    <w:name w:val="Revision"/>
    <w:hidden/>
    <w:uiPriority w:val="99"/>
    <w:semiHidden/>
    <w:rsid w:val="00B5072D"/>
    <w:rPr>
      <w:lang w:eastAsia="en-US"/>
    </w:rPr>
  </w:style>
  <w:style w:type="paragraph" w:styleId="Zhlav">
    <w:name w:val="header"/>
    <w:basedOn w:val="Normln"/>
    <w:link w:val="ZhlavChar"/>
    <w:uiPriority w:val="99"/>
    <w:unhideWhenUsed/>
    <w:rsid w:val="00BF44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4485"/>
    <w:rPr>
      <w:lang w:eastAsia="en-US"/>
    </w:rPr>
  </w:style>
  <w:style w:type="paragraph" w:styleId="Zpat">
    <w:name w:val="footer"/>
    <w:basedOn w:val="Normln"/>
    <w:link w:val="ZpatChar"/>
    <w:uiPriority w:val="99"/>
    <w:unhideWhenUsed/>
    <w:rsid w:val="00BF4485"/>
    <w:pPr>
      <w:tabs>
        <w:tab w:val="center" w:pos="4536"/>
        <w:tab w:val="right" w:pos="9072"/>
      </w:tabs>
      <w:spacing w:after="0" w:line="240" w:lineRule="auto"/>
    </w:pPr>
  </w:style>
  <w:style w:type="character" w:customStyle="1" w:styleId="ZpatChar">
    <w:name w:val="Zápatí Char"/>
    <w:basedOn w:val="Standardnpsmoodstavce"/>
    <w:link w:val="Zpat"/>
    <w:uiPriority w:val="99"/>
    <w:rsid w:val="00BF448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5CDF"/>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AE6D53"/>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locked/>
    <w:rsid w:val="00D9627A"/>
    <w:rPr>
      <w:rFonts w:ascii="Times New Roman" w:hAnsi="Times New Roman" w:cs="Times New Roman"/>
      <w:sz w:val="2"/>
      <w:lang w:eastAsia="en-US"/>
    </w:rPr>
  </w:style>
  <w:style w:type="paragraph" w:styleId="Rozloendokumentu">
    <w:name w:val="Document Map"/>
    <w:basedOn w:val="Normln"/>
    <w:link w:val="RozloendokumentuChar"/>
    <w:uiPriority w:val="99"/>
    <w:semiHidden/>
    <w:rsid w:val="00B06E5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147925"/>
    <w:rPr>
      <w:rFonts w:ascii="Times New Roman" w:hAnsi="Times New Roman" w:cs="Times New Roman"/>
      <w:sz w:val="2"/>
      <w:lang w:eastAsia="en-US"/>
    </w:rPr>
  </w:style>
  <w:style w:type="paragraph" w:styleId="Odstavecseseznamem">
    <w:name w:val="List Paragraph"/>
    <w:basedOn w:val="Normln"/>
    <w:uiPriority w:val="99"/>
    <w:qFormat/>
    <w:rsid w:val="000C2535"/>
    <w:pPr>
      <w:spacing w:after="0" w:line="240" w:lineRule="auto"/>
      <w:ind w:left="720"/>
      <w:contextualSpacing/>
    </w:pPr>
    <w:rPr>
      <w:rFonts w:ascii="Arial" w:eastAsia="Times New Roman" w:hAnsi="Arial" w:cs="Arial"/>
      <w:sz w:val="24"/>
      <w:szCs w:val="24"/>
      <w:lang w:eastAsia="cs-CZ"/>
    </w:rPr>
  </w:style>
  <w:style w:type="paragraph" w:customStyle="1" w:styleId="Novelizanbod">
    <w:name w:val="Novelizační bod"/>
    <w:basedOn w:val="Normln"/>
    <w:next w:val="Normln"/>
    <w:uiPriority w:val="99"/>
    <w:rsid w:val="0046637B"/>
    <w:pPr>
      <w:keepNext/>
      <w:keepLines/>
      <w:numPr>
        <w:numId w:val="2"/>
      </w:numPr>
      <w:tabs>
        <w:tab w:val="left" w:pos="851"/>
      </w:tabs>
      <w:spacing w:before="480" w:after="120" w:line="240" w:lineRule="auto"/>
      <w:jc w:val="both"/>
    </w:pPr>
    <w:rPr>
      <w:rFonts w:ascii="Times New Roman" w:eastAsia="Times New Roman" w:hAnsi="Times New Roman"/>
      <w:sz w:val="24"/>
      <w:szCs w:val="20"/>
      <w:lang w:eastAsia="cs-CZ"/>
    </w:rPr>
  </w:style>
  <w:style w:type="character" w:styleId="Odkaznakoment">
    <w:name w:val="annotation reference"/>
    <w:basedOn w:val="Standardnpsmoodstavce"/>
    <w:uiPriority w:val="99"/>
    <w:semiHidden/>
    <w:unhideWhenUsed/>
    <w:rsid w:val="00A575AE"/>
    <w:rPr>
      <w:sz w:val="16"/>
      <w:szCs w:val="16"/>
    </w:rPr>
  </w:style>
  <w:style w:type="paragraph" w:styleId="Textkomente">
    <w:name w:val="annotation text"/>
    <w:basedOn w:val="Normln"/>
    <w:link w:val="TextkomenteChar"/>
    <w:uiPriority w:val="99"/>
    <w:semiHidden/>
    <w:unhideWhenUsed/>
    <w:rsid w:val="00A575AE"/>
    <w:pPr>
      <w:spacing w:line="240" w:lineRule="auto"/>
    </w:pPr>
    <w:rPr>
      <w:sz w:val="20"/>
      <w:szCs w:val="20"/>
    </w:rPr>
  </w:style>
  <w:style w:type="character" w:customStyle="1" w:styleId="TextkomenteChar">
    <w:name w:val="Text komentáře Char"/>
    <w:basedOn w:val="Standardnpsmoodstavce"/>
    <w:link w:val="Textkomente"/>
    <w:uiPriority w:val="99"/>
    <w:semiHidden/>
    <w:rsid w:val="00A575AE"/>
    <w:rPr>
      <w:sz w:val="20"/>
      <w:szCs w:val="20"/>
      <w:lang w:eastAsia="en-US"/>
    </w:rPr>
  </w:style>
  <w:style w:type="paragraph" w:styleId="Pedmtkomente">
    <w:name w:val="annotation subject"/>
    <w:basedOn w:val="Textkomente"/>
    <w:next w:val="Textkomente"/>
    <w:link w:val="PedmtkomenteChar"/>
    <w:uiPriority w:val="99"/>
    <w:semiHidden/>
    <w:unhideWhenUsed/>
    <w:rsid w:val="00A575AE"/>
    <w:rPr>
      <w:b/>
      <w:bCs/>
    </w:rPr>
  </w:style>
  <w:style w:type="character" w:customStyle="1" w:styleId="PedmtkomenteChar">
    <w:name w:val="Předmět komentáře Char"/>
    <w:basedOn w:val="TextkomenteChar"/>
    <w:link w:val="Pedmtkomente"/>
    <w:uiPriority w:val="99"/>
    <w:semiHidden/>
    <w:rsid w:val="00A575AE"/>
    <w:rPr>
      <w:b/>
      <w:bCs/>
      <w:sz w:val="20"/>
      <w:szCs w:val="20"/>
      <w:lang w:eastAsia="en-US"/>
    </w:rPr>
  </w:style>
  <w:style w:type="paragraph" w:styleId="Bezmezer">
    <w:name w:val="No Spacing"/>
    <w:basedOn w:val="Normln"/>
    <w:uiPriority w:val="1"/>
    <w:qFormat/>
    <w:rsid w:val="004B6744"/>
    <w:pPr>
      <w:spacing w:after="0" w:line="240" w:lineRule="auto"/>
    </w:pPr>
  </w:style>
  <w:style w:type="paragraph" w:customStyle="1" w:styleId="mcntmcntmsonormal2">
    <w:name w:val="mcntmcntmsonormal2"/>
    <w:basedOn w:val="Normln"/>
    <w:uiPriority w:val="99"/>
    <w:rsid w:val="00F9192E"/>
    <w:pPr>
      <w:spacing w:after="0" w:line="240" w:lineRule="auto"/>
    </w:pPr>
    <w:rPr>
      <w:rFonts w:ascii="Times New Roman" w:eastAsia="Times New Roman" w:hAnsi="Times New Roman"/>
      <w:sz w:val="24"/>
      <w:szCs w:val="24"/>
      <w:lang w:eastAsia="cs-CZ"/>
    </w:rPr>
  </w:style>
  <w:style w:type="paragraph" w:customStyle="1" w:styleId="mcntmcntmsolistparagraph2">
    <w:name w:val="mcntmcntmsolistparagraph2"/>
    <w:basedOn w:val="Normln"/>
    <w:uiPriority w:val="34"/>
    <w:rsid w:val="00F9192E"/>
    <w:pPr>
      <w:spacing w:after="0" w:line="240" w:lineRule="auto"/>
      <w:ind w:left="720"/>
    </w:pPr>
    <w:rPr>
      <w:rFonts w:ascii="Times New Roman" w:eastAsia="Times New Roman" w:hAnsi="Times New Roman"/>
      <w:sz w:val="24"/>
      <w:szCs w:val="24"/>
      <w:lang w:eastAsia="cs-CZ"/>
    </w:rPr>
  </w:style>
  <w:style w:type="character" w:styleId="Znakapoznpodarou">
    <w:name w:val="footnote reference"/>
    <w:basedOn w:val="Standardnpsmoodstavce"/>
    <w:uiPriority w:val="99"/>
    <w:semiHidden/>
    <w:unhideWhenUsed/>
    <w:rsid w:val="003742BB"/>
    <w:rPr>
      <w:vertAlign w:val="superscript"/>
    </w:rPr>
  </w:style>
  <w:style w:type="paragraph" w:customStyle="1" w:styleId="Default">
    <w:name w:val="Default"/>
    <w:basedOn w:val="Normln"/>
    <w:rsid w:val="00190DE2"/>
    <w:pPr>
      <w:autoSpaceDE w:val="0"/>
      <w:autoSpaceDN w:val="0"/>
      <w:spacing w:after="0" w:line="240" w:lineRule="auto"/>
    </w:pPr>
    <w:rPr>
      <w:rFonts w:ascii="Times New Roman" w:eastAsiaTheme="minorHAnsi" w:hAnsi="Times New Roman"/>
      <w:color w:val="000000"/>
      <w:sz w:val="24"/>
      <w:szCs w:val="24"/>
    </w:rPr>
  </w:style>
  <w:style w:type="paragraph" w:styleId="Revize">
    <w:name w:val="Revision"/>
    <w:hidden/>
    <w:uiPriority w:val="99"/>
    <w:semiHidden/>
    <w:rsid w:val="00B5072D"/>
    <w:rPr>
      <w:lang w:eastAsia="en-US"/>
    </w:rPr>
  </w:style>
  <w:style w:type="paragraph" w:styleId="Zhlav">
    <w:name w:val="header"/>
    <w:basedOn w:val="Normln"/>
    <w:link w:val="ZhlavChar"/>
    <w:uiPriority w:val="99"/>
    <w:unhideWhenUsed/>
    <w:rsid w:val="00BF44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4485"/>
    <w:rPr>
      <w:lang w:eastAsia="en-US"/>
    </w:rPr>
  </w:style>
  <w:style w:type="paragraph" w:styleId="Zpat">
    <w:name w:val="footer"/>
    <w:basedOn w:val="Normln"/>
    <w:link w:val="ZpatChar"/>
    <w:uiPriority w:val="99"/>
    <w:unhideWhenUsed/>
    <w:rsid w:val="00BF4485"/>
    <w:pPr>
      <w:tabs>
        <w:tab w:val="center" w:pos="4536"/>
        <w:tab w:val="right" w:pos="9072"/>
      </w:tabs>
      <w:spacing w:after="0" w:line="240" w:lineRule="auto"/>
    </w:pPr>
  </w:style>
  <w:style w:type="character" w:customStyle="1" w:styleId="ZpatChar">
    <w:name w:val="Zápatí Char"/>
    <w:basedOn w:val="Standardnpsmoodstavce"/>
    <w:link w:val="Zpat"/>
    <w:uiPriority w:val="99"/>
    <w:rsid w:val="00BF448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4965">
      <w:bodyDiv w:val="1"/>
      <w:marLeft w:val="0"/>
      <w:marRight w:val="0"/>
      <w:marTop w:val="0"/>
      <w:marBottom w:val="0"/>
      <w:divBdr>
        <w:top w:val="none" w:sz="0" w:space="0" w:color="auto"/>
        <w:left w:val="none" w:sz="0" w:space="0" w:color="auto"/>
        <w:bottom w:val="none" w:sz="0" w:space="0" w:color="auto"/>
        <w:right w:val="none" w:sz="0" w:space="0" w:color="auto"/>
      </w:divBdr>
    </w:div>
    <w:div w:id="313871213">
      <w:bodyDiv w:val="1"/>
      <w:marLeft w:val="0"/>
      <w:marRight w:val="0"/>
      <w:marTop w:val="0"/>
      <w:marBottom w:val="0"/>
      <w:divBdr>
        <w:top w:val="none" w:sz="0" w:space="0" w:color="auto"/>
        <w:left w:val="none" w:sz="0" w:space="0" w:color="auto"/>
        <w:bottom w:val="none" w:sz="0" w:space="0" w:color="auto"/>
        <w:right w:val="none" w:sz="0" w:space="0" w:color="auto"/>
      </w:divBdr>
    </w:div>
    <w:div w:id="349645089">
      <w:bodyDiv w:val="1"/>
      <w:marLeft w:val="0"/>
      <w:marRight w:val="0"/>
      <w:marTop w:val="0"/>
      <w:marBottom w:val="0"/>
      <w:divBdr>
        <w:top w:val="none" w:sz="0" w:space="0" w:color="auto"/>
        <w:left w:val="none" w:sz="0" w:space="0" w:color="auto"/>
        <w:bottom w:val="none" w:sz="0" w:space="0" w:color="auto"/>
        <w:right w:val="none" w:sz="0" w:space="0" w:color="auto"/>
      </w:divBdr>
    </w:div>
    <w:div w:id="393092809">
      <w:bodyDiv w:val="1"/>
      <w:marLeft w:val="0"/>
      <w:marRight w:val="0"/>
      <w:marTop w:val="0"/>
      <w:marBottom w:val="0"/>
      <w:divBdr>
        <w:top w:val="none" w:sz="0" w:space="0" w:color="auto"/>
        <w:left w:val="none" w:sz="0" w:space="0" w:color="auto"/>
        <w:bottom w:val="none" w:sz="0" w:space="0" w:color="auto"/>
        <w:right w:val="none" w:sz="0" w:space="0" w:color="auto"/>
      </w:divBdr>
    </w:div>
    <w:div w:id="604925807">
      <w:bodyDiv w:val="1"/>
      <w:marLeft w:val="0"/>
      <w:marRight w:val="0"/>
      <w:marTop w:val="0"/>
      <w:marBottom w:val="0"/>
      <w:divBdr>
        <w:top w:val="none" w:sz="0" w:space="0" w:color="auto"/>
        <w:left w:val="none" w:sz="0" w:space="0" w:color="auto"/>
        <w:bottom w:val="none" w:sz="0" w:space="0" w:color="auto"/>
        <w:right w:val="none" w:sz="0" w:space="0" w:color="auto"/>
      </w:divBdr>
    </w:div>
    <w:div w:id="616254994">
      <w:bodyDiv w:val="1"/>
      <w:marLeft w:val="0"/>
      <w:marRight w:val="0"/>
      <w:marTop w:val="0"/>
      <w:marBottom w:val="0"/>
      <w:divBdr>
        <w:top w:val="none" w:sz="0" w:space="0" w:color="auto"/>
        <w:left w:val="none" w:sz="0" w:space="0" w:color="auto"/>
        <w:bottom w:val="none" w:sz="0" w:space="0" w:color="auto"/>
        <w:right w:val="none" w:sz="0" w:space="0" w:color="auto"/>
      </w:divBdr>
    </w:div>
    <w:div w:id="727268349">
      <w:bodyDiv w:val="1"/>
      <w:marLeft w:val="0"/>
      <w:marRight w:val="0"/>
      <w:marTop w:val="0"/>
      <w:marBottom w:val="0"/>
      <w:divBdr>
        <w:top w:val="none" w:sz="0" w:space="0" w:color="auto"/>
        <w:left w:val="none" w:sz="0" w:space="0" w:color="auto"/>
        <w:bottom w:val="none" w:sz="0" w:space="0" w:color="auto"/>
        <w:right w:val="none" w:sz="0" w:space="0" w:color="auto"/>
      </w:divBdr>
    </w:div>
    <w:div w:id="923533538">
      <w:bodyDiv w:val="1"/>
      <w:marLeft w:val="0"/>
      <w:marRight w:val="0"/>
      <w:marTop w:val="0"/>
      <w:marBottom w:val="0"/>
      <w:divBdr>
        <w:top w:val="none" w:sz="0" w:space="0" w:color="auto"/>
        <w:left w:val="none" w:sz="0" w:space="0" w:color="auto"/>
        <w:bottom w:val="none" w:sz="0" w:space="0" w:color="auto"/>
        <w:right w:val="none" w:sz="0" w:space="0" w:color="auto"/>
      </w:divBdr>
    </w:div>
    <w:div w:id="1040519989">
      <w:bodyDiv w:val="1"/>
      <w:marLeft w:val="0"/>
      <w:marRight w:val="0"/>
      <w:marTop w:val="0"/>
      <w:marBottom w:val="0"/>
      <w:divBdr>
        <w:top w:val="none" w:sz="0" w:space="0" w:color="auto"/>
        <w:left w:val="none" w:sz="0" w:space="0" w:color="auto"/>
        <w:bottom w:val="none" w:sz="0" w:space="0" w:color="auto"/>
        <w:right w:val="none" w:sz="0" w:space="0" w:color="auto"/>
      </w:divBdr>
    </w:div>
    <w:div w:id="1047527867">
      <w:bodyDiv w:val="1"/>
      <w:marLeft w:val="0"/>
      <w:marRight w:val="0"/>
      <w:marTop w:val="0"/>
      <w:marBottom w:val="0"/>
      <w:divBdr>
        <w:top w:val="none" w:sz="0" w:space="0" w:color="auto"/>
        <w:left w:val="none" w:sz="0" w:space="0" w:color="auto"/>
        <w:bottom w:val="none" w:sz="0" w:space="0" w:color="auto"/>
        <w:right w:val="none" w:sz="0" w:space="0" w:color="auto"/>
      </w:divBdr>
    </w:div>
    <w:div w:id="1079865894">
      <w:bodyDiv w:val="1"/>
      <w:marLeft w:val="0"/>
      <w:marRight w:val="0"/>
      <w:marTop w:val="0"/>
      <w:marBottom w:val="0"/>
      <w:divBdr>
        <w:top w:val="none" w:sz="0" w:space="0" w:color="auto"/>
        <w:left w:val="none" w:sz="0" w:space="0" w:color="auto"/>
        <w:bottom w:val="none" w:sz="0" w:space="0" w:color="auto"/>
        <w:right w:val="none" w:sz="0" w:space="0" w:color="auto"/>
      </w:divBdr>
    </w:div>
    <w:div w:id="1296719811">
      <w:bodyDiv w:val="1"/>
      <w:marLeft w:val="0"/>
      <w:marRight w:val="0"/>
      <w:marTop w:val="0"/>
      <w:marBottom w:val="0"/>
      <w:divBdr>
        <w:top w:val="none" w:sz="0" w:space="0" w:color="auto"/>
        <w:left w:val="none" w:sz="0" w:space="0" w:color="auto"/>
        <w:bottom w:val="none" w:sz="0" w:space="0" w:color="auto"/>
        <w:right w:val="none" w:sz="0" w:space="0" w:color="auto"/>
      </w:divBdr>
    </w:div>
    <w:div w:id="1378776336">
      <w:bodyDiv w:val="1"/>
      <w:marLeft w:val="0"/>
      <w:marRight w:val="0"/>
      <w:marTop w:val="0"/>
      <w:marBottom w:val="0"/>
      <w:divBdr>
        <w:top w:val="none" w:sz="0" w:space="0" w:color="auto"/>
        <w:left w:val="none" w:sz="0" w:space="0" w:color="auto"/>
        <w:bottom w:val="none" w:sz="0" w:space="0" w:color="auto"/>
        <w:right w:val="none" w:sz="0" w:space="0" w:color="auto"/>
      </w:divBdr>
    </w:div>
    <w:div w:id="1479880116">
      <w:bodyDiv w:val="1"/>
      <w:marLeft w:val="0"/>
      <w:marRight w:val="0"/>
      <w:marTop w:val="0"/>
      <w:marBottom w:val="0"/>
      <w:divBdr>
        <w:top w:val="none" w:sz="0" w:space="0" w:color="auto"/>
        <w:left w:val="none" w:sz="0" w:space="0" w:color="auto"/>
        <w:bottom w:val="none" w:sz="0" w:space="0" w:color="auto"/>
        <w:right w:val="none" w:sz="0" w:space="0" w:color="auto"/>
      </w:divBdr>
    </w:div>
    <w:div w:id="1644432265">
      <w:bodyDiv w:val="1"/>
      <w:marLeft w:val="0"/>
      <w:marRight w:val="0"/>
      <w:marTop w:val="0"/>
      <w:marBottom w:val="0"/>
      <w:divBdr>
        <w:top w:val="none" w:sz="0" w:space="0" w:color="auto"/>
        <w:left w:val="none" w:sz="0" w:space="0" w:color="auto"/>
        <w:bottom w:val="none" w:sz="0" w:space="0" w:color="auto"/>
        <w:right w:val="none" w:sz="0" w:space="0" w:color="auto"/>
      </w:divBdr>
    </w:div>
    <w:div w:id="1677926420">
      <w:bodyDiv w:val="1"/>
      <w:marLeft w:val="0"/>
      <w:marRight w:val="0"/>
      <w:marTop w:val="0"/>
      <w:marBottom w:val="0"/>
      <w:divBdr>
        <w:top w:val="none" w:sz="0" w:space="0" w:color="auto"/>
        <w:left w:val="none" w:sz="0" w:space="0" w:color="auto"/>
        <w:bottom w:val="none" w:sz="0" w:space="0" w:color="auto"/>
        <w:right w:val="none" w:sz="0" w:space="0" w:color="auto"/>
      </w:divBdr>
    </w:div>
    <w:div w:id="1679577299">
      <w:bodyDiv w:val="1"/>
      <w:marLeft w:val="0"/>
      <w:marRight w:val="0"/>
      <w:marTop w:val="0"/>
      <w:marBottom w:val="0"/>
      <w:divBdr>
        <w:top w:val="none" w:sz="0" w:space="0" w:color="auto"/>
        <w:left w:val="none" w:sz="0" w:space="0" w:color="auto"/>
        <w:bottom w:val="none" w:sz="0" w:space="0" w:color="auto"/>
        <w:right w:val="none" w:sz="0" w:space="0" w:color="auto"/>
      </w:divBdr>
    </w:div>
    <w:div w:id="1708066725">
      <w:bodyDiv w:val="1"/>
      <w:marLeft w:val="0"/>
      <w:marRight w:val="0"/>
      <w:marTop w:val="0"/>
      <w:marBottom w:val="0"/>
      <w:divBdr>
        <w:top w:val="none" w:sz="0" w:space="0" w:color="auto"/>
        <w:left w:val="none" w:sz="0" w:space="0" w:color="auto"/>
        <w:bottom w:val="none" w:sz="0" w:space="0" w:color="auto"/>
        <w:right w:val="none" w:sz="0" w:space="0" w:color="auto"/>
      </w:divBdr>
    </w:div>
    <w:div w:id="1764112289">
      <w:bodyDiv w:val="1"/>
      <w:marLeft w:val="0"/>
      <w:marRight w:val="0"/>
      <w:marTop w:val="0"/>
      <w:marBottom w:val="0"/>
      <w:divBdr>
        <w:top w:val="none" w:sz="0" w:space="0" w:color="auto"/>
        <w:left w:val="none" w:sz="0" w:space="0" w:color="auto"/>
        <w:bottom w:val="none" w:sz="0" w:space="0" w:color="auto"/>
        <w:right w:val="none" w:sz="0" w:space="0" w:color="auto"/>
      </w:divBdr>
    </w:div>
    <w:div w:id="1786077824">
      <w:bodyDiv w:val="1"/>
      <w:marLeft w:val="0"/>
      <w:marRight w:val="0"/>
      <w:marTop w:val="0"/>
      <w:marBottom w:val="0"/>
      <w:divBdr>
        <w:top w:val="none" w:sz="0" w:space="0" w:color="auto"/>
        <w:left w:val="none" w:sz="0" w:space="0" w:color="auto"/>
        <w:bottom w:val="none" w:sz="0" w:space="0" w:color="auto"/>
        <w:right w:val="none" w:sz="0" w:space="0" w:color="auto"/>
      </w:divBdr>
    </w:div>
    <w:div w:id="1899395960">
      <w:bodyDiv w:val="1"/>
      <w:marLeft w:val="0"/>
      <w:marRight w:val="0"/>
      <w:marTop w:val="0"/>
      <w:marBottom w:val="0"/>
      <w:divBdr>
        <w:top w:val="none" w:sz="0" w:space="0" w:color="auto"/>
        <w:left w:val="none" w:sz="0" w:space="0" w:color="auto"/>
        <w:bottom w:val="none" w:sz="0" w:space="0" w:color="auto"/>
        <w:right w:val="none" w:sz="0" w:space="0" w:color="auto"/>
      </w:divBdr>
    </w:div>
    <w:div w:id="21039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7911B-B30E-475A-BB24-DC55E892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1305</Words>
  <Characters>7706</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VYPOŘÁDÁNÍ PŘIPOMÍNEK K MATERIÁLU S NÁZVEM:</vt:lpstr>
    </vt:vector>
  </TitlesOfParts>
  <Company>Ministerstvo financí</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VYPOŘÁDÁNÍ PŘIPOMÍNEK K MATERIÁLU S NÁZVEM:</dc:title>
  <dc:creator>Pavlík Ladislav Ing.</dc:creator>
  <cp:lastModifiedBy>Strakošová Pavla Ing.</cp:lastModifiedBy>
  <cp:revision>4</cp:revision>
  <cp:lastPrinted>2017-05-23T06:09:00Z</cp:lastPrinted>
  <dcterms:created xsi:type="dcterms:W3CDTF">2017-10-03T08:14:00Z</dcterms:created>
  <dcterms:modified xsi:type="dcterms:W3CDTF">2017-10-06T12:07:00Z</dcterms:modified>
</cp:coreProperties>
</file>