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EF" w:rsidRPr="00324552" w:rsidRDefault="00B023EF" w:rsidP="00B023EF">
      <w:pPr>
        <w:pStyle w:val="Nadpis2"/>
        <w:numPr>
          <w:ilvl w:val="1"/>
          <w:numId w:val="1"/>
        </w:numPr>
      </w:pPr>
      <w:bookmarkStart w:id="0" w:name="_Toc485715390"/>
      <w:r w:rsidRPr="00324552">
        <w:t xml:space="preserve">Auditing </w:t>
      </w:r>
      <w:r>
        <w:t>I</w:t>
      </w:r>
      <w:bookmarkEnd w:id="0"/>
    </w:p>
    <w:p w:rsidR="00B023EF" w:rsidRPr="00324552" w:rsidRDefault="00B023EF" w:rsidP="00B023EF">
      <w:pPr>
        <w:pStyle w:val="Nadpis3"/>
        <w:tabs>
          <w:tab w:val="clear" w:pos="720"/>
          <w:tab w:val="num" w:pos="900"/>
        </w:tabs>
        <w:ind w:left="900"/>
      </w:pPr>
      <w:bookmarkStart w:id="1" w:name="_Toc485715391"/>
      <w:r w:rsidRPr="00324552">
        <w:t>Cíle a zaměření zkoušky</w:t>
      </w:r>
      <w:bookmarkEnd w:id="1"/>
    </w:p>
    <w:p w:rsidR="00B023EF" w:rsidRDefault="00B023EF" w:rsidP="00B023EF">
      <w:pPr>
        <w:rPr>
          <w:b/>
        </w:rPr>
      </w:pPr>
      <w:r>
        <w:rPr>
          <w:b/>
        </w:rPr>
        <w:t>Cílem a zaměřením zkoušky Auditing I je u uchazečů ověřit:</w:t>
      </w:r>
    </w:p>
    <w:p w:rsidR="00B023EF" w:rsidRDefault="00B023EF" w:rsidP="00B023EF">
      <w:pPr>
        <w:numPr>
          <w:ilvl w:val="0"/>
          <w:numId w:val="3"/>
        </w:numPr>
        <w:spacing w:after="200" w:line="276" w:lineRule="auto"/>
      </w:pPr>
      <w:r w:rsidRPr="00A523C8">
        <w:t>porozumění podstatě a významu auditu a ostatních ověřovacích zakázek</w:t>
      </w:r>
    </w:p>
    <w:p w:rsidR="00B023EF" w:rsidRPr="00A523C8" w:rsidRDefault="00B023EF" w:rsidP="00B023EF">
      <w:pPr>
        <w:numPr>
          <w:ilvl w:val="0"/>
          <w:numId w:val="3"/>
        </w:numPr>
        <w:spacing w:after="200" w:line="276" w:lineRule="auto"/>
      </w:pPr>
      <w:r w:rsidRPr="00A523C8">
        <w:t>znalost požadavků na provádění povinného auditu u jednotlivých subjektů v České republice</w:t>
      </w:r>
    </w:p>
    <w:p w:rsidR="00B023EF" w:rsidRPr="00A523C8" w:rsidRDefault="00B023EF" w:rsidP="00B023EF">
      <w:pPr>
        <w:numPr>
          <w:ilvl w:val="0"/>
          <w:numId w:val="3"/>
        </w:numPr>
        <w:spacing w:after="200" w:line="276" w:lineRule="auto"/>
      </w:pPr>
      <w:r w:rsidRPr="00A523C8">
        <w:t>znalost struktury mezinárodních auditorských standardů a ostatních materiálů vydávaných IAASB</w:t>
      </w:r>
      <w:r>
        <w:t xml:space="preserve"> a postupu jejich tvorby</w:t>
      </w:r>
    </w:p>
    <w:p w:rsidR="00B023EF" w:rsidRPr="00750AE7" w:rsidRDefault="00B023EF" w:rsidP="00B023EF">
      <w:pPr>
        <w:numPr>
          <w:ilvl w:val="0"/>
          <w:numId w:val="3"/>
        </w:numPr>
        <w:spacing w:after="200" w:line="276" w:lineRule="auto"/>
      </w:pPr>
      <w:r w:rsidRPr="00A523C8">
        <w:t xml:space="preserve">znalost vymezených mezinárodních auditorských standardů ISA a schopnost </w:t>
      </w:r>
      <w:r w:rsidRPr="00750AE7">
        <w:t>jejich praktické aplikace</w:t>
      </w:r>
    </w:p>
    <w:p w:rsidR="00B023EF" w:rsidRPr="00A523C8" w:rsidRDefault="00B023EF" w:rsidP="00B023EF">
      <w:pPr>
        <w:numPr>
          <w:ilvl w:val="0"/>
          <w:numId w:val="3"/>
        </w:numPr>
        <w:spacing w:after="200" w:line="276" w:lineRule="auto"/>
      </w:pPr>
      <w:r w:rsidRPr="00A523C8">
        <w:t>znalost činnosti IFAC v oblasti auditu</w:t>
      </w:r>
      <w:r>
        <w:t>, ověřování a etiky</w:t>
      </w:r>
    </w:p>
    <w:p w:rsidR="00B023EF" w:rsidRPr="000D1CE8" w:rsidRDefault="00B023EF" w:rsidP="00B023EF">
      <w:pPr>
        <w:numPr>
          <w:ilvl w:val="0"/>
          <w:numId w:val="3"/>
        </w:numPr>
        <w:spacing w:after="200" w:line="276" w:lineRule="auto"/>
      </w:pPr>
      <w:r w:rsidRPr="000D1CE8">
        <w:t xml:space="preserve">pochopení etických principů auditorské profese a etického chování auditora </w:t>
      </w:r>
    </w:p>
    <w:p w:rsidR="00B023EF" w:rsidRPr="00A523C8" w:rsidRDefault="00B023EF" w:rsidP="00B023EF">
      <w:pPr>
        <w:numPr>
          <w:ilvl w:val="0"/>
          <w:numId w:val="3"/>
        </w:numPr>
        <w:spacing w:after="200" w:line="276" w:lineRule="auto"/>
      </w:pPr>
      <w:r w:rsidRPr="000D1CE8">
        <w:t>znalost auditorského</w:t>
      </w:r>
      <w:r>
        <w:t xml:space="preserve"> přístupu</w:t>
      </w:r>
      <w:r w:rsidRPr="00A523C8">
        <w:t xml:space="preserve"> </w:t>
      </w:r>
      <w:r>
        <w:t xml:space="preserve">a znalost </w:t>
      </w:r>
      <w:r w:rsidRPr="00A523C8">
        <w:t>jednotlivých fází</w:t>
      </w:r>
      <w:r>
        <w:t xml:space="preserve"> provedení auditu </w:t>
      </w:r>
      <w:r w:rsidRPr="00A523C8">
        <w:t>a praktickou aplikaci těchto znalostí</w:t>
      </w:r>
    </w:p>
    <w:p w:rsidR="00B023EF" w:rsidRPr="00A523C8" w:rsidRDefault="00B023EF" w:rsidP="00B023EF">
      <w:pPr>
        <w:numPr>
          <w:ilvl w:val="0"/>
          <w:numId w:val="3"/>
        </w:numPr>
        <w:spacing w:after="200" w:line="276" w:lineRule="auto"/>
      </w:pPr>
      <w:r w:rsidRPr="00A523C8">
        <w:t xml:space="preserve">schopnost </w:t>
      </w:r>
      <w:r>
        <w:t xml:space="preserve">přispět k tvorbě plánu auditu a schopnost jeho realizace </w:t>
      </w:r>
      <w:r w:rsidRPr="00A523C8">
        <w:t xml:space="preserve"> </w:t>
      </w:r>
    </w:p>
    <w:p w:rsidR="00B023EF" w:rsidRDefault="00B023EF" w:rsidP="00B023EF">
      <w:pPr>
        <w:numPr>
          <w:ilvl w:val="0"/>
          <w:numId w:val="3"/>
        </w:numPr>
        <w:spacing w:after="200" w:line="276" w:lineRule="auto"/>
      </w:pPr>
      <w:r>
        <w:t>schopnost získat znalost účetní jednotky a jejího prostředí, jejího vnitřního kontrolního systému včetně vyhodnocení jeho významných nedostatků a identifikace rizika významné nesprávnosti v účetní závěrce na úrovni tvrzení a na úrovni účetní závěrky.</w:t>
      </w:r>
    </w:p>
    <w:p w:rsidR="00B023EF" w:rsidRPr="00A523C8" w:rsidRDefault="00B023EF" w:rsidP="00B023EF">
      <w:pPr>
        <w:numPr>
          <w:ilvl w:val="0"/>
          <w:numId w:val="3"/>
        </w:numPr>
        <w:spacing w:after="200" w:line="276" w:lineRule="auto"/>
      </w:pPr>
      <w:r>
        <w:t>schopnost stanovení adekvátní reakce na identifikovaná rizika významné nesprávnosti v účetní závěrce i na úrovni tvrzení o transakcích a zůstatcích</w:t>
      </w:r>
    </w:p>
    <w:p w:rsidR="00B023EF" w:rsidRDefault="00B023EF" w:rsidP="00B023EF">
      <w:pPr>
        <w:numPr>
          <w:ilvl w:val="0"/>
          <w:numId w:val="3"/>
        </w:numPr>
        <w:spacing w:after="200" w:line="276" w:lineRule="auto"/>
      </w:pPr>
      <w:r>
        <w:t xml:space="preserve">schopnost porozumět způsobu, jakým účetní jednotka řeší rizika vyplývající z informačních technologií </w:t>
      </w:r>
    </w:p>
    <w:p w:rsidR="00B023EF" w:rsidRDefault="00B023EF" w:rsidP="00B023EF">
      <w:pPr>
        <w:numPr>
          <w:ilvl w:val="0"/>
          <w:numId w:val="3"/>
        </w:numPr>
        <w:spacing w:after="200" w:line="276" w:lineRule="auto"/>
      </w:pPr>
      <w:r>
        <w:t>znalost způsobu provedení auditu v podmínkách rozvinutých informačních technologií</w:t>
      </w:r>
      <w:r w:rsidRPr="00A523C8">
        <w:t xml:space="preserve"> včetně </w:t>
      </w:r>
      <w:r>
        <w:t>možnosti využití počítačem podporovaných technik auditu (CAAT)</w:t>
      </w:r>
    </w:p>
    <w:p w:rsidR="00B023EF" w:rsidRPr="00A523C8" w:rsidRDefault="00B023EF" w:rsidP="00B023EF">
      <w:pPr>
        <w:numPr>
          <w:ilvl w:val="0"/>
          <w:numId w:val="3"/>
        </w:numPr>
        <w:spacing w:after="200" w:line="276" w:lineRule="auto"/>
      </w:pPr>
      <w:r>
        <w:t>znalost požadavků na vedení auditorské dokumentace včetně praktické aplikace</w:t>
      </w:r>
    </w:p>
    <w:p w:rsidR="00B023EF" w:rsidRPr="00324552" w:rsidRDefault="00B023EF" w:rsidP="00B023EF">
      <w:pPr>
        <w:pStyle w:val="Nadpis3"/>
        <w:tabs>
          <w:tab w:val="clear" w:pos="720"/>
          <w:tab w:val="num" w:pos="900"/>
        </w:tabs>
        <w:ind w:left="900"/>
      </w:pPr>
      <w:bookmarkStart w:id="2" w:name="_Toc485715392"/>
      <w:r w:rsidRPr="00324552">
        <w:t>Vymezení témat</w:t>
      </w:r>
      <w:bookmarkEnd w:id="2"/>
    </w:p>
    <w:p w:rsidR="00B023EF" w:rsidRDefault="00B023EF" w:rsidP="00B023EF">
      <w:pPr>
        <w:numPr>
          <w:ilvl w:val="0"/>
          <w:numId w:val="4"/>
        </w:numPr>
        <w:spacing w:after="200" w:line="276" w:lineRule="auto"/>
      </w:pPr>
      <w:r>
        <w:t>Právní úprava auditu v České republice, zákon o auditorech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lastRenderedPageBreak/>
        <w:t xml:space="preserve">Mezinárodní organizace významné pro provádění auditu – IAASB při IFAC, </w:t>
      </w:r>
      <w:r>
        <w:t xml:space="preserve">proces při přijímání standardů, struktura a aktivity IFAC. Význam a aktivity </w:t>
      </w:r>
      <w:proofErr w:type="spellStart"/>
      <w:r w:rsidRPr="007265D7">
        <w:t>Accountancy</w:t>
      </w:r>
      <w:proofErr w:type="spellEnd"/>
      <w:r w:rsidRPr="007265D7">
        <w:t xml:space="preserve"> </w:t>
      </w:r>
      <w:proofErr w:type="spellStart"/>
      <w:r w:rsidRPr="007265D7">
        <w:t>Europe</w:t>
      </w:r>
      <w:proofErr w:type="spellEnd"/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Struktura materiálů vydávaných IAASB – Rámec, ISA, ISRE, ISAE, ISRS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>
        <w:rPr>
          <w:b/>
        </w:rPr>
        <w:t>Z</w:t>
      </w:r>
      <w:r w:rsidRPr="00840B02">
        <w:rPr>
          <w:b/>
        </w:rPr>
        <w:t>nalost Etického kodexu</w:t>
      </w:r>
      <w:r w:rsidRPr="0020511E">
        <w:t xml:space="preserve"> </w:t>
      </w:r>
      <w:r>
        <w:t>pro auditory a účetní znalce vydaný KA ČR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Vymezení a cíl ověřovací zakázky</w:t>
      </w:r>
      <w:r>
        <w:t>, n</w:t>
      </w:r>
      <w:r w:rsidRPr="0020511E">
        <w:t>áležitosti ověřovací zakázky</w:t>
      </w:r>
      <w:r>
        <w:t>, p</w:t>
      </w:r>
      <w:r w:rsidRPr="0020511E">
        <w:t>řijetí ověřovací zakázky</w:t>
      </w:r>
      <w:r>
        <w:t xml:space="preserve">, </w:t>
      </w:r>
      <w:r w:rsidRPr="00D037A1">
        <w:rPr>
          <w:b/>
        </w:rPr>
        <w:t>znalost Rámce</w:t>
      </w:r>
      <w:r>
        <w:t xml:space="preserve"> pro ověřovací zakázky </w:t>
      </w:r>
    </w:p>
    <w:p w:rsidR="00B023EF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 xml:space="preserve">Cíle a obecné </w:t>
      </w:r>
      <w:r>
        <w:t xml:space="preserve">principy a </w:t>
      </w:r>
      <w:r w:rsidRPr="0020511E">
        <w:t>zásady provádění auditu</w:t>
      </w:r>
      <w:r>
        <w:t xml:space="preserve"> – co je cílem auditu, jaká jsou jeho přirozená omezení, profesní skepse, </w:t>
      </w:r>
      <w:r w:rsidRPr="0020511E">
        <w:t>rozsah auditu a přiměřená jistota</w:t>
      </w:r>
      <w:r>
        <w:t xml:space="preserve"> – proč není možno poskytovat absolutní jistotu, rozdíl mezi přiměřenou a omezenou jistotou, o</w:t>
      </w:r>
      <w:r w:rsidRPr="0020511E">
        <w:t>dpovědnost za účetní závěrku</w:t>
      </w:r>
      <w:r>
        <w:t xml:space="preserve"> – vymezení odpovědnosti vedení účetní jednotky,</w:t>
      </w:r>
      <w:r w:rsidRPr="00DF4DE7">
        <w:rPr>
          <w:b/>
        </w:rPr>
        <w:t xml:space="preserve"> znalost ISA 200</w:t>
      </w:r>
      <w:r>
        <w:t xml:space="preserve"> </w:t>
      </w:r>
    </w:p>
    <w:p w:rsidR="00B023EF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Dokumentace auditu</w:t>
      </w:r>
      <w:r>
        <w:t xml:space="preserve"> – požadovaný rozsah dokumentace, důvody pro vedení spisu, uzavření spisu, </w:t>
      </w:r>
      <w:r w:rsidRPr="00DF4DE7">
        <w:rPr>
          <w:b/>
        </w:rPr>
        <w:t>znalost ISA 230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>
        <w:t xml:space="preserve">Přihlížení k právním předpisům při auditu ÚZ, </w:t>
      </w:r>
      <w:r w:rsidRPr="00564902">
        <w:rPr>
          <w:b/>
        </w:rPr>
        <w:t>znalost ISA 2</w:t>
      </w:r>
      <w:r>
        <w:rPr>
          <w:b/>
        </w:rPr>
        <w:t>5</w:t>
      </w:r>
      <w:r w:rsidRPr="00564902">
        <w:rPr>
          <w:b/>
        </w:rPr>
        <w:t>0</w:t>
      </w:r>
    </w:p>
    <w:p w:rsidR="00B023EF" w:rsidRDefault="00B023EF" w:rsidP="00B023EF">
      <w:pPr>
        <w:numPr>
          <w:ilvl w:val="0"/>
          <w:numId w:val="4"/>
        </w:numPr>
        <w:spacing w:after="200" w:line="276" w:lineRule="auto"/>
      </w:pPr>
      <w:r>
        <w:t>Posouzení rizika zakázky a reakce na něj – seznámení se s účetní jednotkou,</w:t>
      </w:r>
      <w:r w:rsidRPr="00840B02">
        <w:t xml:space="preserve"> </w:t>
      </w:r>
      <w:r>
        <w:t>z</w:t>
      </w:r>
      <w:r w:rsidRPr="0020511E">
        <w:t>nalost účetní jednotky a jejího podnikání včetně vnitřního kontrolního systému</w:t>
      </w:r>
      <w:r>
        <w:t xml:space="preserve"> postupy vyhodnocení rizik, významná rizika, všeobecná reakce, testy věcné správnosti, testy kontrol, </w:t>
      </w:r>
      <w:r>
        <w:rPr>
          <w:b/>
        </w:rPr>
        <w:t>znalost ISA 315</w:t>
      </w:r>
    </w:p>
    <w:p w:rsidR="00B023EF" w:rsidRDefault="00B023EF" w:rsidP="00B023EF">
      <w:pPr>
        <w:numPr>
          <w:ilvl w:val="0"/>
          <w:numId w:val="4"/>
        </w:numPr>
        <w:spacing w:after="200" w:line="276" w:lineRule="auto"/>
      </w:pPr>
      <w:r>
        <w:t>Strategie a plán</w:t>
      </w:r>
      <w:r w:rsidRPr="0020511E">
        <w:t xml:space="preserve"> auditu účetní závěrky</w:t>
      </w:r>
      <w:r>
        <w:t xml:space="preserve">, porozumění problematice, přispění k tvorbě plánu auditu, </w:t>
      </w:r>
      <w:r w:rsidRPr="00564902">
        <w:rPr>
          <w:b/>
        </w:rPr>
        <w:t>znalost ISA 300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 xml:space="preserve">Významnost </w:t>
      </w:r>
      <w:r>
        <w:t>(</w:t>
      </w:r>
      <w:proofErr w:type="spellStart"/>
      <w:r>
        <w:t>materialita</w:t>
      </w:r>
      <w:proofErr w:type="spellEnd"/>
      <w:r>
        <w:t xml:space="preserve">) </w:t>
      </w:r>
      <w:r w:rsidRPr="0020511E">
        <w:t>z hlediska auditu</w:t>
      </w:r>
      <w:r>
        <w:t xml:space="preserve"> – významnost (</w:t>
      </w:r>
      <w:proofErr w:type="spellStart"/>
      <w:r>
        <w:t>materialita</w:t>
      </w:r>
      <w:proofErr w:type="spellEnd"/>
      <w:r>
        <w:t xml:space="preserve">), prováděcí významnost (prováděcí </w:t>
      </w:r>
      <w:proofErr w:type="spellStart"/>
      <w:r>
        <w:t>materialita</w:t>
      </w:r>
      <w:proofErr w:type="spellEnd"/>
      <w:r>
        <w:t xml:space="preserve">) – definice, výpočet, </w:t>
      </w:r>
      <w:r w:rsidRPr="00DF4DE7">
        <w:rPr>
          <w:b/>
        </w:rPr>
        <w:t>znalost ISA 320</w:t>
      </w:r>
    </w:p>
    <w:p w:rsidR="00B023EF" w:rsidRPr="001807ED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Postupy prováděn</w:t>
      </w:r>
      <w:r>
        <w:t>é</w:t>
      </w:r>
      <w:r w:rsidRPr="0020511E">
        <w:t xml:space="preserve"> auditorem v reakci na vyhodnocená rizika</w:t>
      </w:r>
      <w:r>
        <w:t xml:space="preserve"> na úrovni tvrzení </w:t>
      </w:r>
      <w:r w:rsidRPr="0020511E">
        <w:t>–</w:t>
      </w:r>
      <w:r>
        <w:t xml:space="preserve"> </w:t>
      </w:r>
      <w:r w:rsidRPr="0020511E">
        <w:t>testy spolehlivosti, testy věcné správnosti</w:t>
      </w:r>
      <w:r>
        <w:t xml:space="preserve"> – jak reagovat na rizika, kdy provádět testy věcné správnosti, kdy testy spolehlivosti, p</w:t>
      </w:r>
      <w:r w:rsidRPr="0020511E">
        <w:t>oužití tvrzení v</w:t>
      </w:r>
      <w:r>
        <w:t> </w:t>
      </w:r>
      <w:r w:rsidRPr="0020511E">
        <w:t>auditu</w:t>
      </w:r>
      <w:r>
        <w:t xml:space="preserve"> – znalost jednotlivých tvrzení, schopnost navrhnout testy, kterými reagujeme na rizika na úrovni jednotlivých tvrzení</w:t>
      </w:r>
      <w:r>
        <w:rPr>
          <w:b/>
        </w:rPr>
        <w:t xml:space="preserve"> </w:t>
      </w:r>
      <w:r w:rsidRPr="001807ED">
        <w:t>včetně praktické aplikace,</w:t>
      </w:r>
      <w:r>
        <w:rPr>
          <w:b/>
        </w:rPr>
        <w:t xml:space="preserve"> znalost ISA </w:t>
      </w:r>
      <w:r w:rsidRPr="00DF4DE7">
        <w:rPr>
          <w:b/>
        </w:rPr>
        <w:t>330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>
        <w:t>Vyhodnocení nesprávností – jednoznačně nepodstatné nesprávnosti, vyhodnocení v návaznosti na významnost (</w:t>
      </w:r>
      <w:proofErr w:type="spellStart"/>
      <w:r>
        <w:t>materialitu</w:t>
      </w:r>
      <w:proofErr w:type="spellEnd"/>
      <w:r>
        <w:t>) a prováděcí významnost (</w:t>
      </w:r>
      <w:proofErr w:type="spellStart"/>
      <w:r>
        <w:t>materialitu</w:t>
      </w:r>
      <w:proofErr w:type="spellEnd"/>
      <w:r>
        <w:t>),</w:t>
      </w:r>
      <w:r w:rsidRPr="006425BE">
        <w:rPr>
          <w:b/>
        </w:rPr>
        <w:t xml:space="preserve"> znalost ISA 450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Důkazní informace a postupy jejich získávání</w:t>
      </w:r>
      <w:r>
        <w:t xml:space="preserve">, </w:t>
      </w:r>
      <w:r w:rsidRPr="00DF4DE7">
        <w:rPr>
          <w:b/>
        </w:rPr>
        <w:t>znalost ISA 500, 501, 505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Analytické postupy</w:t>
      </w:r>
      <w:r>
        <w:t xml:space="preserve"> – využití pro identifikaci rizika (předběžné), využití jakožto testů věcné správnosti, využití při závěrečné analýze účetní závěrky, </w:t>
      </w:r>
      <w:r w:rsidRPr="00840B02">
        <w:rPr>
          <w:b/>
        </w:rPr>
        <w:t>znalost ISA 520</w:t>
      </w:r>
      <w:r>
        <w:t xml:space="preserve"> </w:t>
      </w:r>
    </w:p>
    <w:p w:rsidR="00B023EF" w:rsidRPr="0020511E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lastRenderedPageBreak/>
        <w:t>Výběr vzorků</w:t>
      </w:r>
      <w:r>
        <w:t xml:space="preserve"> – výběrové riziko, statistické vs. nestatistické metody, jak interpretovat výsledky, </w:t>
      </w:r>
      <w:r w:rsidRPr="00840B02">
        <w:rPr>
          <w:b/>
        </w:rPr>
        <w:t>znalost ISA 530</w:t>
      </w:r>
    </w:p>
    <w:p w:rsidR="00B023EF" w:rsidRDefault="00B023EF" w:rsidP="00B023EF">
      <w:pPr>
        <w:numPr>
          <w:ilvl w:val="0"/>
          <w:numId w:val="4"/>
        </w:numPr>
        <w:spacing w:after="200" w:line="276" w:lineRule="auto"/>
      </w:pPr>
      <w:r w:rsidRPr="00693C8A">
        <w:t>Audit účetních odhadů</w:t>
      </w:r>
      <w:r>
        <w:t xml:space="preserve">, </w:t>
      </w:r>
      <w:r w:rsidRPr="006425BE">
        <w:rPr>
          <w:b/>
        </w:rPr>
        <w:t>znalost ISA 540</w:t>
      </w:r>
    </w:p>
    <w:p w:rsidR="00B023EF" w:rsidRPr="00B14F45" w:rsidRDefault="00B023EF" w:rsidP="00B023EF">
      <w:pPr>
        <w:numPr>
          <w:ilvl w:val="0"/>
          <w:numId w:val="4"/>
        </w:numPr>
        <w:spacing w:after="200" w:line="276" w:lineRule="auto"/>
      </w:pPr>
      <w:r w:rsidRPr="00693C8A">
        <w:t>Spřízněné strany</w:t>
      </w:r>
      <w:r>
        <w:t xml:space="preserve">, </w:t>
      </w:r>
      <w:r w:rsidRPr="006425BE">
        <w:rPr>
          <w:b/>
        </w:rPr>
        <w:t>znalost ISA 550</w:t>
      </w:r>
    </w:p>
    <w:p w:rsidR="00B023EF" w:rsidRPr="001807ED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Události po datu účetní závěrky</w:t>
      </w:r>
      <w:r>
        <w:t xml:space="preserve">, </w:t>
      </w:r>
      <w:r w:rsidRPr="006425BE">
        <w:rPr>
          <w:b/>
        </w:rPr>
        <w:t>znalost ISA 560</w:t>
      </w:r>
      <w:r>
        <w:rPr>
          <w:b/>
        </w:rPr>
        <w:t xml:space="preserve"> </w:t>
      </w:r>
      <w:r w:rsidRPr="001807ED">
        <w:t>až do odstavce 8</w:t>
      </w:r>
    </w:p>
    <w:p w:rsidR="00B023EF" w:rsidRPr="001807ED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Předpoklad nepřetržitého trvání účetní jednotky</w:t>
      </w:r>
      <w:r>
        <w:t xml:space="preserve">, </w:t>
      </w:r>
      <w:r w:rsidRPr="006425BE">
        <w:rPr>
          <w:b/>
        </w:rPr>
        <w:t>znalost ISA 570</w:t>
      </w:r>
      <w:r>
        <w:rPr>
          <w:b/>
        </w:rPr>
        <w:t xml:space="preserve"> </w:t>
      </w:r>
      <w:r w:rsidRPr="001807ED">
        <w:t>až do odst. 15</w:t>
      </w:r>
    </w:p>
    <w:p w:rsidR="00B023EF" w:rsidRDefault="00B023EF" w:rsidP="00B023EF">
      <w:pPr>
        <w:numPr>
          <w:ilvl w:val="0"/>
          <w:numId w:val="4"/>
        </w:numPr>
        <w:spacing w:after="200" w:line="276" w:lineRule="auto"/>
      </w:pPr>
      <w:r>
        <w:t>Počítačem podporované</w:t>
      </w:r>
      <w:r w:rsidRPr="0020511E">
        <w:t xml:space="preserve"> technik</w:t>
      </w:r>
      <w:r>
        <w:t xml:space="preserve">y </w:t>
      </w:r>
      <w:r w:rsidRPr="0020511E">
        <w:t>auditu</w:t>
      </w:r>
    </w:p>
    <w:p w:rsidR="00B023EF" w:rsidRPr="001337BD" w:rsidRDefault="00B023EF" w:rsidP="00B023EF">
      <w:pPr>
        <w:numPr>
          <w:ilvl w:val="0"/>
          <w:numId w:val="4"/>
        </w:numPr>
        <w:spacing w:after="200" w:line="276" w:lineRule="auto"/>
      </w:pPr>
      <w:r w:rsidRPr="0020511E">
        <w:t>Zpráva auditora</w:t>
      </w:r>
      <w:r>
        <w:t xml:space="preserve"> – části zprávy, modifikace, </w:t>
      </w:r>
      <w:r w:rsidRPr="006425BE">
        <w:rPr>
          <w:b/>
        </w:rPr>
        <w:t>znalost ISA 700, 705</w:t>
      </w:r>
    </w:p>
    <w:p w:rsidR="00B023EF" w:rsidRPr="0020511E" w:rsidRDefault="00B023EF" w:rsidP="00B023EF">
      <w:pPr>
        <w:spacing w:after="200" w:line="276" w:lineRule="auto"/>
      </w:pPr>
    </w:p>
    <w:p w:rsidR="00B023EF" w:rsidRDefault="00B023EF" w:rsidP="00B023EF">
      <w:pPr>
        <w:pStyle w:val="Nadpis3"/>
        <w:tabs>
          <w:tab w:val="clear" w:pos="720"/>
          <w:tab w:val="num" w:pos="900"/>
        </w:tabs>
        <w:ind w:left="900"/>
      </w:pPr>
      <w:bookmarkStart w:id="3" w:name="_Toc485715393"/>
      <w:r w:rsidRPr="00324552">
        <w:t>Literatura</w:t>
      </w:r>
      <w:bookmarkEnd w:id="3"/>
      <w:r w:rsidRPr="00324552">
        <w:t xml:space="preserve"> </w:t>
      </w:r>
    </w:p>
    <w:p w:rsidR="00B023EF" w:rsidRDefault="00B023EF" w:rsidP="00B023EF">
      <w:pPr>
        <w:pStyle w:val="Nadpis4"/>
        <w:numPr>
          <w:ilvl w:val="3"/>
          <w:numId w:val="1"/>
        </w:numPr>
      </w:pPr>
      <w:r>
        <w:t>Povinná:</w:t>
      </w:r>
    </w:p>
    <w:p w:rsidR="00B023EF" w:rsidRPr="007E5A4D" w:rsidRDefault="00B023EF" w:rsidP="00B023EF">
      <w:pPr>
        <w:numPr>
          <w:ilvl w:val="0"/>
          <w:numId w:val="2"/>
        </w:numPr>
        <w:jc w:val="both"/>
      </w:pPr>
      <w:r w:rsidRPr="007E5A4D">
        <w:t xml:space="preserve">Příručka pro provádění auditu </w:t>
      </w:r>
      <w:r>
        <w:t>(poslední vydání)</w:t>
      </w:r>
    </w:p>
    <w:p w:rsidR="00B023EF" w:rsidRDefault="00B023EF" w:rsidP="00B023EF">
      <w:pPr>
        <w:numPr>
          <w:ilvl w:val="0"/>
          <w:numId w:val="2"/>
        </w:numPr>
        <w:jc w:val="both"/>
      </w:pPr>
      <w:r w:rsidRPr="007E5A4D">
        <w:t xml:space="preserve">Příručka k uplatňování mezinárodních auditorských standardů při auditu účetních závěrek malých a středních </w:t>
      </w:r>
      <w:r>
        <w:t>účetních jednotek (poslední vydání)</w:t>
      </w:r>
    </w:p>
    <w:p w:rsidR="00B023EF" w:rsidRDefault="00B023EF" w:rsidP="00B023EF">
      <w:pPr>
        <w:numPr>
          <w:ilvl w:val="0"/>
          <w:numId w:val="2"/>
        </w:numPr>
        <w:jc w:val="both"/>
      </w:pPr>
      <w:r>
        <w:t xml:space="preserve">Müllerová Libuše, Králíček Vladimír a kol., </w:t>
      </w:r>
      <w:r w:rsidRPr="00C95144">
        <w:rPr>
          <w:i/>
          <w:iCs/>
        </w:rPr>
        <w:t>Auditing.</w:t>
      </w:r>
      <w:r w:rsidRPr="00C95144">
        <w:t xml:space="preserve"> 2. vyd. Praha: </w:t>
      </w:r>
      <w:proofErr w:type="spellStart"/>
      <w:r w:rsidRPr="00C95144">
        <w:t>Oeconomica</w:t>
      </w:r>
      <w:proofErr w:type="spellEnd"/>
      <w:r w:rsidRPr="00C95144">
        <w:t>, 2017. 388 s. ISBN 978-80-245-2233-3.</w:t>
      </w:r>
    </w:p>
    <w:p w:rsidR="00B023EF" w:rsidRDefault="00B023EF" w:rsidP="00B023EF">
      <w:pPr>
        <w:numPr>
          <w:ilvl w:val="0"/>
          <w:numId w:val="2"/>
        </w:numPr>
        <w:jc w:val="both"/>
      </w:pPr>
      <w:r>
        <w:t>Časopis Auditor</w:t>
      </w:r>
    </w:p>
    <w:p w:rsidR="00B023EF" w:rsidRDefault="00B023EF" w:rsidP="00B023EF">
      <w:pPr>
        <w:numPr>
          <w:ilvl w:val="0"/>
          <w:numId w:val="2"/>
        </w:numPr>
        <w:jc w:val="both"/>
      </w:pPr>
      <w:r>
        <w:t>Internetové stránky KA ČR</w:t>
      </w:r>
    </w:p>
    <w:p w:rsidR="00B023EF" w:rsidRPr="007E5A4D" w:rsidRDefault="00B023EF" w:rsidP="00B023EF">
      <w:pPr>
        <w:rPr>
          <w:b/>
          <w:sz w:val="28"/>
          <w:szCs w:val="28"/>
        </w:rPr>
      </w:pPr>
    </w:p>
    <w:p w:rsidR="00B023EF" w:rsidRDefault="00B023EF" w:rsidP="00B023EF">
      <w:pPr>
        <w:pStyle w:val="Nadpis4"/>
        <w:numPr>
          <w:ilvl w:val="3"/>
          <w:numId w:val="1"/>
        </w:numPr>
      </w:pPr>
      <w:r w:rsidRPr="00324552">
        <w:t xml:space="preserve">Předpisy </w:t>
      </w:r>
    </w:p>
    <w:p w:rsidR="00B023EF" w:rsidRPr="00453946" w:rsidRDefault="00B023EF" w:rsidP="00B023EF">
      <w:pPr>
        <w:numPr>
          <w:ilvl w:val="0"/>
          <w:numId w:val="6"/>
        </w:numPr>
        <w:jc w:val="both"/>
      </w:pPr>
      <w:r>
        <w:t>Mezinárodní předpisy v oblasti řízení kvality, auditu, prověrek, ostatních ověřovacích zakázek a souvisejících služeb, poslední vydání</w:t>
      </w:r>
    </w:p>
    <w:p w:rsidR="00B023EF" w:rsidRDefault="00B023EF" w:rsidP="00B023EF">
      <w:pPr>
        <w:numPr>
          <w:ilvl w:val="0"/>
          <w:numId w:val="6"/>
        </w:numPr>
        <w:jc w:val="both"/>
      </w:pPr>
      <w:r w:rsidRPr="00E04E93">
        <w:t>Zákon č. 563/1991 Sb., o účetnictví a navazující prováděcí vyhlášky</w:t>
      </w:r>
    </w:p>
    <w:p w:rsidR="00B023EF" w:rsidRDefault="00B023EF" w:rsidP="00B023EF">
      <w:pPr>
        <w:numPr>
          <w:ilvl w:val="0"/>
          <w:numId w:val="6"/>
        </w:numPr>
        <w:jc w:val="both"/>
      </w:pPr>
      <w:r>
        <w:t xml:space="preserve">Zákon č. 93/2009 Sb., o auditorech </w:t>
      </w:r>
    </w:p>
    <w:p w:rsidR="00B023EF" w:rsidRPr="00E04E93" w:rsidRDefault="00B023EF" w:rsidP="00B023EF">
      <w:pPr>
        <w:numPr>
          <w:ilvl w:val="0"/>
          <w:numId w:val="6"/>
        </w:numPr>
        <w:jc w:val="both"/>
      </w:pPr>
      <w:r w:rsidRPr="00E04E93">
        <w:t xml:space="preserve">Etický kodex </w:t>
      </w:r>
      <w:r>
        <w:t>pro auditory a účetní znalce, přijatý KA ČR</w:t>
      </w:r>
    </w:p>
    <w:p w:rsidR="00B023EF" w:rsidRDefault="00B023EF" w:rsidP="00B023EF"/>
    <w:p w:rsidR="00B023EF" w:rsidRPr="00324552" w:rsidRDefault="00B023EF" w:rsidP="00B023EF">
      <w:pPr>
        <w:pStyle w:val="Nadpis3"/>
        <w:tabs>
          <w:tab w:val="clear" w:pos="720"/>
          <w:tab w:val="num" w:pos="900"/>
        </w:tabs>
        <w:ind w:left="900"/>
      </w:pPr>
      <w:bookmarkStart w:id="4" w:name="_Toc485715394"/>
      <w:r w:rsidRPr="00324552">
        <w:t>Pomůcky u zkoušky</w:t>
      </w:r>
      <w:bookmarkEnd w:id="4"/>
    </w:p>
    <w:p w:rsidR="00B023EF" w:rsidRDefault="00B023EF" w:rsidP="00B023EF">
      <w:r w:rsidRPr="002E43BF">
        <w:t xml:space="preserve">U </w:t>
      </w:r>
      <w:r w:rsidRPr="00B20D71">
        <w:rPr>
          <w:b/>
        </w:rPr>
        <w:t>první části</w:t>
      </w:r>
      <w:r>
        <w:t xml:space="preserve"> </w:t>
      </w:r>
      <w:r w:rsidRPr="002E43BF">
        <w:t xml:space="preserve">této zkoušky </w:t>
      </w:r>
      <w:r>
        <w:t xml:space="preserve">(viz „Průběh a podmínky zkoušky“ níže) </w:t>
      </w:r>
      <w:r w:rsidRPr="002E43BF">
        <w:t>nejsou povoleny žádné pomůcky</w:t>
      </w:r>
      <w:r>
        <w:t>.</w:t>
      </w:r>
    </w:p>
    <w:p w:rsidR="00B023EF" w:rsidRDefault="00B023EF" w:rsidP="00B023EF"/>
    <w:p w:rsidR="00B023EF" w:rsidRPr="00453946" w:rsidRDefault="00B023EF" w:rsidP="00B023EF">
      <w:r>
        <w:t xml:space="preserve">U </w:t>
      </w:r>
      <w:r w:rsidRPr="00B20D71">
        <w:rPr>
          <w:b/>
        </w:rPr>
        <w:t>druhé části</w:t>
      </w:r>
      <w:r>
        <w:t xml:space="preserve"> této zkoušky jsou povoleny veškeré materiály uvedené výše v části „Předpisy“</w:t>
      </w:r>
    </w:p>
    <w:p w:rsidR="00B023EF" w:rsidRDefault="00B023EF" w:rsidP="00B023EF"/>
    <w:p w:rsidR="00B023EF" w:rsidRPr="00453946" w:rsidRDefault="00B023EF" w:rsidP="00B023EF">
      <w:r>
        <w:t>Všechny pomůcky musí být výhradně v tištěné podobě, bez komentářů, poznámek a dalších vpisků. Zvýraznění tištěného textu barvami či podržením je přípustné.</w:t>
      </w:r>
    </w:p>
    <w:p w:rsidR="00B023EF" w:rsidRPr="002E43BF" w:rsidRDefault="00B023EF" w:rsidP="00B023EF"/>
    <w:p w:rsidR="00B023EF" w:rsidRPr="00324552" w:rsidRDefault="00B023EF" w:rsidP="00B023EF">
      <w:pPr>
        <w:pStyle w:val="Nadpis3"/>
        <w:tabs>
          <w:tab w:val="clear" w:pos="720"/>
          <w:tab w:val="num" w:pos="900"/>
        </w:tabs>
        <w:ind w:left="900"/>
      </w:pPr>
      <w:bookmarkStart w:id="5" w:name="_Toc485715395"/>
      <w:r w:rsidRPr="00324552">
        <w:lastRenderedPageBreak/>
        <w:t>Průběh a podmínky zkoušky</w:t>
      </w:r>
      <w:bookmarkEnd w:id="5"/>
    </w:p>
    <w:p w:rsidR="00B023EF" w:rsidRDefault="00B023EF" w:rsidP="00B023EF">
      <w:r>
        <w:t>Zkouška se skládá ze dvou částí.</w:t>
      </w:r>
    </w:p>
    <w:p w:rsidR="00B023EF" w:rsidRDefault="00B023EF" w:rsidP="00B023EF">
      <w:r>
        <w:t>První část</w:t>
      </w:r>
    </w:p>
    <w:p w:rsidR="00B023EF" w:rsidRDefault="00B023EF" w:rsidP="00B023EF">
      <w:pPr>
        <w:numPr>
          <w:ilvl w:val="0"/>
          <w:numId w:val="5"/>
        </w:numPr>
        <w:spacing w:after="200" w:line="276" w:lineRule="auto"/>
      </w:pPr>
      <w:r>
        <w:t>test – výběr jedné ze tří až čtyř možných odpovědí – 10 otázek, každá za 1 bod. Správná odpověď je hodnocena jedním bodem, za špatnou nebo žádnou odpověď uchazeč získává 0 bodů.</w:t>
      </w:r>
    </w:p>
    <w:p w:rsidR="00B023EF" w:rsidRDefault="00B023EF" w:rsidP="00B023EF">
      <w:pPr>
        <w:numPr>
          <w:ilvl w:val="0"/>
          <w:numId w:val="5"/>
        </w:numPr>
        <w:spacing w:after="200" w:line="276" w:lineRule="auto"/>
      </w:pPr>
      <w:r>
        <w:t>potvrzení pravdivosti tvrzení – 10 tvrzení, každé za 1 bod. Správná odpověď je hodnocena jedním bodem, za žádnou odpověď uchazeč získává 0 bodů, špatná odpověď je hodnocena -1 bodem.</w:t>
      </w:r>
    </w:p>
    <w:p w:rsidR="00B023EF" w:rsidRDefault="00B023EF" w:rsidP="00B023EF">
      <w:pPr>
        <w:numPr>
          <w:ilvl w:val="0"/>
          <w:numId w:val="5"/>
        </w:numPr>
        <w:spacing w:after="200" w:line="276" w:lineRule="auto"/>
      </w:pPr>
      <w:r>
        <w:t>Odpovědi na dotazy, vysvětlení, řešení příkladu či kratší případové studie. Za tuto část lze získat maximálně 20 bodů celkem.</w:t>
      </w:r>
    </w:p>
    <w:p w:rsidR="00B023EF" w:rsidRDefault="00B023EF" w:rsidP="00B023EF"/>
    <w:p w:rsidR="00B023EF" w:rsidRDefault="00B023EF" w:rsidP="00B023EF">
      <w:r>
        <w:t>Druhá část</w:t>
      </w:r>
    </w:p>
    <w:p w:rsidR="00B023EF" w:rsidRDefault="00B023EF" w:rsidP="00B023EF">
      <w:pPr>
        <w:numPr>
          <w:ilvl w:val="0"/>
          <w:numId w:val="5"/>
        </w:numPr>
        <w:spacing w:after="200" w:line="276" w:lineRule="auto"/>
      </w:pPr>
      <w:r>
        <w:t>případové studie,</w:t>
      </w:r>
      <w:r w:rsidRPr="002201D8">
        <w:t xml:space="preserve"> </w:t>
      </w:r>
      <w:r>
        <w:t xml:space="preserve">přičemž součástí každé případové studie je několik samostatně hodnocených otázek. Maximálně lze získat za správně vyřešené případové studie 60 bodů. </w:t>
      </w:r>
    </w:p>
    <w:p w:rsidR="00B023EF" w:rsidRDefault="00B023EF" w:rsidP="00B023EF"/>
    <w:p w:rsidR="00B023EF" w:rsidRPr="0036255D" w:rsidRDefault="00B023EF" w:rsidP="00B023EF">
      <w:r>
        <w:t xml:space="preserve">Zkouška může trvat 2 – 5 hodin, přičemž první část trvá 1- 2 hodiny a druhá část 1 - 4 hodiny. Po vypracování a odevzdání první části následuje krátká přestávka, po které bude rozdáno zadání druhé části. Maximálně lze z této zkoušky získat 100 bodů. </w:t>
      </w:r>
    </w:p>
    <w:p w:rsidR="00937B10" w:rsidRDefault="00B023EF">
      <w:bookmarkStart w:id="6" w:name="_GoBack"/>
      <w:bookmarkEnd w:id="6"/>
    </w:p>
    <w:sectPr w:rsidR="0093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0814"/>
    <w:multiLevelType w:val="hybridMultilevel"/>
    <w:tmpl w:val="54EEC406"/>
    <w:lvl w:ilvl="0" w:tplc="BEEAAE38">
      <w:start w:val="1"/>
      <w:numFmt w:val="decimal"/>
      <w:lvlText w:val="[%1]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0C3D"/>
    <w:multiLevelType w:val="hybridMultilevel"/>
    <w:tmpl w:val="22208CB2"/>
    <w:lvl w:ilvl="0" w:tplc="04050017">
      <w:start w:val="1"/>
      <w:numFmt w:val="decimal"/>
      <w:lvlText w:val="[%1]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5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5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4B2AC2"/>
    <w:multiLevelType w:val="hybridMultilevel"/>
    <w:tmpl w:val="71A412C2"/>
    <w:lvl w:ilvl="0" w:tplc="CDBC4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823C9"/>
    <w:multiLevelType w:val="hybridMultilevel"/>
    <w:tmpl w:val="7AD0009E"/>
    <w:lvl w:ilvl="0" w:tplc="94DA0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570CB"/>
    <w:multiLevelType w:val="multilevel"/>
    <w:tmpl w:val="E602695E"/>
    <w:lvl w:ilvl="0">
      <w:start w:val="1"/>
      <w:numFmt w:val="upperLetter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C2B605A"/>
    <w:multiLevelType w:val="hybridMultilevel"/>
    <w:tmpl w:val="7A70868C"/>
    <w:lvl w:ilvl="0" w:tplc="D832A8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EF"/>
    <w:rsid w:val="00354E99"/>
    <w:rsid w:val="00B023EF"/>
    <w:rsid w:val="00B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aliases w:val="+"/>
    <w:basedOn w:val="Normln"/>
    <w:next w:val="Normln"/>
    <w:link w:val="Nadpis2Char"/>
    <w:qFormat/>
    <w:rsid w:val="00B023EF"/>
    <w:pPr>
      <w:keepNext/>
      <w:spacing w:before="360" w:after="180"/>
      <w:ind w:left="576"/>
      <w:outlineLvl w:val="1"/>
    </w:pPr>
    <w:rPr>
      <w:rFonts w:ascii="Arial" w:hAnsi="Arial"/>
      <w:b/>
      <w:smallCaps/>
      <w:snapToGrid w:val="0"/>
      <w:color w:val="003366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B023EF"/>
    <w:pPr>
      <w:keepNext/>
      <w:numPr>
        <w:ilvl w:val="2"/>
        <w:numId w:val="1"/>
      </w:numPr>
      <w:spacing w:before="360" w:after="180"/>
      <w:outlineLvl w:val="2"/>
    </w:pPr>
    <w:rPr>
      <w:rFonts w:ascii="Arial" w:hAnsi="Arial" w:cs="Arial"/>
      <w:b/>
      <w:color w:val="003366"/>
      <w:sz w:val="36"/>
      <w:szCs w:val="70"/>
    </w:rPr>
  </w:style>
  <w:style w:type="paragraph" w:styleId="Nadpis4">
    <w:name w:val="heading 4"/>
    <w:basedOn w:val="Normln"/>
    <w:next w:val="Normln"/>
    <w:link w:val="Nadpis4Char"/>
    <w:qFormat/>
    <w:rsid w:val="00B023EF"/>
    <w:pPr>
      <w:keepNext/>
      <w:tabs>
        <w:tab w:val="left" w:pos="900"/>
      </w:tabs>
      <w:spacing w:before="240" w:after="120"/>
      <w:outlineLvl w:val="3"/>
    </w:pPr>
    <w:rPr>
      <w:rFonts w:ascii="Arial" w:hAnsi="Arial"/>
      <w:b/>
      <w:color w:val="003366"/>
      <w:sz w:val="32"/>
      <w:szCs w:val="70"/>
    </w:rPr>
  </w:style>
  <w:style w:type="paragraph" w:styleId="Nadpis5">
    <w:name w:val="heading 5"/>
    <w:basedOn w:val="Normln"/>
    <w:next w:val="Normln"/>
    <w:link w:val="Nadpis5Char"/>
    <w:qFormat/>
    <w:rsid w:val="00B023E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link w:val="Nadpis6Char"/>
    <w:qFormat/>
    <w:rsid w:val="00B023EF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Nadpis7">
    <w:name w:val="heading 7"/>
    <w:basedOn w:val="Normln"/>
    <w:next w:val="Normln"/>
    <w:link w:val="Nadpis7Char"/>
    <w:qFormat/>
    <w:rsid w:val="00B023EF"/>
    <w:pPr>
      <w:keepNext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outlineLvl w:val="6"/>
    </w:pPr>
    <w:rPr>
      <w:rFonts w:ascii="Arial Black" w:hAnsi="Arial Black"/>
      <w:sz w:val="60"/>
    </w:rPr>
  </w:style>
  <w:style w:type="paragraph" w:styleId="Nadpis8">
    <w:name w:val="heading 8"/>
    <w:basedOn w:val="Normln"/>
    <w:next w:val="Normln"/>
    <w:link w:val="Nadpis8Char"/>
    <w:qFormat/>
    <w:rsid w:val="00B023EF"/>
    <w:pPr>
      <w:keepNext/>
      <w:numPr>
        <w:ilvl w:val="7"/>
        <w:numId w:val="1"/>
      </w:numPr>
      <w:shd w:val="clear" w:color="auto" w:fill="D9D9D9"/>
      <w:jc w:val="center"/>
      <w:outlineLvl w:val="7"/>
    </w:pPr>
    <w:rPr>
      <w:rFonts w:ascii="Arial Black" w:hAnsi="Arial Black"/>
      <w:sz w:val="60"/>
      <w:szCs w:val="70"/>
    </w:rPr>
  </w:style>
  <w:style w:type="paragraph" w:styleId="Nadpis9">
    <w:name w:val="heading 9"/>
    <w:basedOn w:val="Normln"/>
    <w:next w:val="Normln"/>
    <w:link w:val="Nadpis9Char"/>
    <w:qFormat/>
    <w:rsid w:val="00B023EF"/>
    <w:pPr>
      <w:keepNext/>
      <w:numPr>
        <w:ilvl w:val="8"/>
        <w:numId w:val="1"/>
      </w:numPr>
      <w:spacing w:before="240"/>
      <w:jc w:val="center"/>
      <w:outlineLvl w:val="8"/>
    </w:pPr>
    <w:rPr>
      <w:rFonts w:ascii="Arial Black" w:hAnsi="Arial Black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+ Char"/>
    <w:basedOn w:val="Standardnpsmoodstavce"/>
    <w:link w:val="Nadpis2"/>
    <w:rsid w:val="00B023EF"/>
    <w:rPr>
      <w:rFonts w:ascii="Arial" w:eastAsia="Times New Roman" w:hAnsi="Arial" w:cs="Times New Roman"/>
      <w:b/>
      <w:smallCaps/>
      <w:snapToGrid w:val="0"/>
      <w:color w:val="003366"/>
      <w:sz w:val="44"/>
      <w:szCs w:val="4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B023EF"/>
    <w:rPr>
      <w:rFonts w:ascii="Arial" w:eastAsia="Times New Roman" w:hAnsi="Arial" w:cs="Arial"/>
      <w:b/>
      <w:color w:val="003366"/>
      <w:sz w:val="36"/>
      <w:szCs w:val="70"/>
      <w:lang w:eastAsia="cs-CZ"/>
    </w:rPr>
  </w:style>
  <w:style w:type="character" w:customStyle="1" w:styleId="Nadpis4Char">
    <w:name w:val="Nadpis 4 Char"/>
    <w:basedOn w:val="Standardnpsmoodstavce"/>
    <w:link w:val="Nadpis4"/>
    <w:rsid w:val="00B023EF"/>
    <w:rPr>
      <w:rFonts w:ascii="Arial" w:eastAsia="Times New Roman" w:hAnsi="Arial" w:cs="Times New Roman"/>
      <w:b/>
      <w:color w:val="003366"/>
      <w:sz w:val="32"/>
      <w:szCs w:val="70"/>
      <w:lang w:eastAsia="cs-CZ"/>
    </w:rPr>
  </w:style>
  <w:style w:type="character" w:customStyle="1" w:styleId="Nadpis5Char">
    <w:name w:val="Nadpis 5 Char"/>
    <w:basedOn w:val="Standardnpsmoodstavce"/>
    <w:link w:val="Nadpis5"/>
    <w:rsid w:val="00B023EF"/>
    <w:rPr>
      <w:rFonts w:ascii="Times New Roman" w:eastAsia="Times New Roman" w:hAnsi="Times New Roman" w:cs="Times New Roman"/>
      <w:color w:val="000000"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B023EF"/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character" w:customStyle="1" w:styleId="Nadpis7Char">
    <w:name w:val="Nadpis 7 Char"/>
    <w:basedOn w:val="Standardnpsmoodstavce"/>
    <w:link w:val="Nadpis7"/>
    <w:rsid w:val="00B023EF"/>
    <w:rPr>
      <w:rFonts w:ascii="Arial Black" w:eastAsia="Times New Roman" w:hAnsi="Arial Black" w:cs="Times New Roman"/>
      <w:color w:val="000000"/>
      <w:sz w:val="60"/>
      <w:szCs w:val="24"/>
      <w:shd w:val="clear" w:color="auto" w:fill="E0E0E0"/>
      <w:lang w:eastAsia="cs-CZ"/>
    </w:rPr>
  </w:style>
  <w:style w:type="character" w:customStyle="1" w:styleId="Nadpis8Char">
    <w:name w:val="Nadpis 8 Char"/>
    <w:basedOn w:val="Standardnpsmoodstavce"/>
    <w:link w:val="Nadpis8"/>
    <w:rsid w:val="00B023EF"/>
    <w:rPr>
      <w:rFonts w:ascii="Arial Black" w:eastAsia="Times New Roman" w:hAnsi="Arial Black" w:cs="Times New Roman"/>
      <w:color w:val="000000"/>
      <w:sz w:val="60"/>
      <w:szCs w:val="70"/>
      <w:shd w:val="clear" w:color="auto" w:fill="D9D9D9"/>
      <w:lang w:eastAsia="cs-CZ"/>
    </w:rPr>
  </w:style>
  <w:style w:type="character" w:customStyle="1" w:styleId="Nadpis9Char">
    <w:name w:val="Nadpis 9 Char"/>
    <w:basedOn w:val="Standardnpsmoodstavce"/>
    <w:link w:val="Nadpis9"/>
    <w:rsid w:val="00B023EF"/>
    <w:rPr>
      <w:rFonts w:ascii="Arial Black" w:eastAsia="Times New Roman" w:hAnsi="Arial Black" w:cs="Times New Roman"/>
      <w:color w:val="000000"/>
      <w:sz w:val="7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aliases w:val="+"/>
    <w:basedOn w:val="Normln"/>
    <w:next w:val="Normln"/>
    <w:link w:val="Nadpis2Char"/>
    <w:qFormat/>
    <w:rsid w:val="00B023EF"/>
    <w:pPr>
      <w:keepNext/>
      <w:spacing w:before="360" w:after="180"/>
      <w:ind w:left="576"/>
      <w:outlineLvl w:val="1"/>
    </w:pPr>
    <w:rPr>
      <w:rFonts w:ascii="Arial" w:hAnsi="Arial"/>
      <w:b/>
      <w:smallCaps/>
      <w:snapToGrid w:val="0"/>
      <w:color w:val="003366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B023EF"/>
    <w:pPr>
      <w:keepNext/>
      <w:numPr>
        <w:ilvl w:val="2"/>
        <w:numId w:val="1"/>
      </w:numPr>
      <w:spacing w:before="360" w:after="180"/>
      <w:outlineLvl w:val="2"/>
    </w:pPr>
    <w:rPr>
      <w:rFonts w:ascii="Arial" w:hAnsi="Arial" w:cs="Arial"/>
      <w:b/>
      <w:color w:val="003366"/>
      <w:sz w:val="36"/>
      <w:szCs w:val="70"/>
    </w:rPr>
  </w:style>
  <w:style w:type="paragraph" w:styleId="Nadpis4">
    <w:name w:val="heading 4"/>
    <w:basedOn w:val="Normln"/>
    <w:next w:val="Normln"/>
    <w:link w:val="Nadpis4Char"/>
    <w:qFormat/>
    <w:rsid w:val="00B023EF"/>
    <w:pPr>
      <w:keepNext/>
      <w:tabs>
        <w:tab w:val="left" w:pos="900"/>
      </w:tabs>
      <w:spacing w:before="240" w:after="120"/>
      <w:outlineLvl w:val="3"/>
    </w:pPr>
    <w:rPr>
      <w:rFonts w:ascii="Arial" w:hAnsi="Arial"/>
      <w:b/>
      <w:color w:val="003366"/>
      <w:sz w:val="32"/>
      <w:szCs w:val="70"/>
    </w:rPr>
  </w:style>
  <w:style w:type="paragraph" w:styleId="Nadpis5">
    <w:name w:val="heading 5"/>
    <w:basedOn w:val="Normln"/>
    <w:next w:val="Normln"/>
    <w:link w:val="Nadpis5Char"/>
    <w:qFormat/>
    <w:rsid w:val="00B023E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link w:val="Nadpis6Char"/>
    <w:qFormat/>
    <w:rsid w:val="00B023EF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Nadpis7">
    <w:name w:val="heading 7"/>
    <w:basedOn w:val="Normln"/>
    <w:next w:val="Normln"/>
    <w:link w:val="Nadpis7Char"/>
    <w:qFormat/>
    <w:rsid w:val="00B023EF"/>
    <w:pPr>
      <w:keepNext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outlineLvl w:val="6"/>
    </w:pPr>
    <w:rPr>
      <w:rFonts w:ascii="Arial Black" w:hAnsi="Arial Black"/>
      <w:sz w:val="60"/>
    </w:rPr>
  </w:style>
  <w:style w:type="paragraph" w:styleId="Nadpis8">
    <w:name w:val="heading 8"/>
    <w:basedOn w:val="Normln"/>
    <w:next w:val="Normln"/>
    <w:link w:val="Nadpis8Char"/>
    <w:qFormat/>
    <w:rsid w:val="00B023EF"/>
    <w:pPr>
      <w:keepNext/>
      <w:numPr>
        <w:ilvl w:val="7"/>
        <w:numId w:val="1"/>
      </w:numPr>
      <w:shd w:val="clear" w:color="auto" w:fill="D9D9D9"/>
      <w:jc w:val="center"/>
      <w:outlineLvl w:val="7"/>
    </w:pPr>
    <w:rPr>
      <w:rFonts w:ascii="Arial Black" w:hAnsi="Arial Black"/>
      <w:sz w:val="60"/>
      <w:szCs w:val="70"/>
    </w:rPr>
  </w:style>
  <w:style w:type="paragraph" w:styleId="Nadpis9">
    <w:name w:val="heading 9"/>
    <w:basedOn w:val="Normln"/>
    <w:next w:val="Normln"/>
    <w:link w:val="Nadpis9Char"/>
    <w:qFormat/>
    <w:rsid w:val="00B023EF"/>
    <w:pPr>
      <w:keepNext/>
      <w:numPr>
        <w:ilvl w:val="8"/>
        <w:numId w:val="1"/>
      </w:numPr>
      <w:spacing w:before="240"/>
      <w:jc w:val="center"/>
      <w:outlineLvl w:val="8"/>
    </w:pPr>
    <w:rPr>
      <w:rFonts w:ascii="Arial Black" w:hAnsi="Arial Black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+ Char"/>
    <w:basedOn w:val="Standardnpsmoodstavce"/>
    <w:link w:val="Nadpis2"/>
    <w:rsid w:val="00B023EF"/>
    <w:rPr>
      <w:rFonts w:ascii="Arial" w:eastAsia="Times New Roman" w:hAnsi="Arial" w:cs="Times New Roman"/>
      <w:b/>
      <w:smallCaps/>
      <w:snapToGrid w:val="0"/>
      <w:color w:val="003366"/>
      <w:sz w:val="44"/>
      <w:szCs w:val="4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B023EF"/>
    <w:rPr>
      <w:rFonts w:ascii="Arial" w:eastAsia="Times New Roman" w:hAnsi="Arial" w:cs="Arial"/>
      <w:b/>
      <w:color w:val="003366"/>
      <w:sz w:val="36"/>
      <w:szCs w:val="70"/>
      <w:lang w:eastAsia="cs-CZ"/>
    </w:rPr>
  </w:style>
  <w:style w:type="character" w:customStyle="1" w:styleId="Nadpis4Char">
    <w:name w:val="Nadpis 4 Char"/>
    <w:basedOn w:val="Standardnpsmoodstavce"/>
    <w:link w:val="Nadpis4"/>
    <w:rsid w:val="00B023EF"/>
    <w:rPr>
      <w:rFonts w:ascii="Arial" w:eastAsia="Times New Roman" w:hAnsi="Arial" w:cs="Times New Roman"/>
      <w:b/>
      <w:color w:val="003366"/>
      <w:sz w:val="32"/>
      <w:szCs w:val="70"/>
      <w:lang w:eastAsia="cs-CZ"/>
    </w:rPr>
  </w:style>
  <w:style w:type="character" w:customStyle="1" w:styleId="Nadpis5Char">
    <w:name w:val="Nadpis 5 Char"/>
    <w:basedOn w:val="Standardnpsmoodstavce"/>
    <w:link w:val="Nadpis5"/>
    <w:rsid w:val="00B023EF"/>
    <w:rPr>
      <w:rFonts w:ascii="Times New Roman" w:eastAsia="Times New Roman" w:hAnsi="Times New Roman" w:cs="Times New Roman"/>
      <w:color w:val="000000"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B023EF"/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character" w:customStyle="1" w:styleId="Nadpis7Char">
    <w:name w:val="Nadpis 7 Char"/>
    <w:basedOn w:val="Standardnpsmoodstavce"/>
    <w:link w:val="Nadpis7"/>
    <w:rsid w:val="00B023EF"/>
    <w:rPr>
      <w:rFonts w:ascii="Arial Black" w:eastAsia="Times New Roman" w:hAnsi="Arial Black" w:cs="Times New Roman"/>
      <w:color w:val="000000"/>
      <w:sz w:val="60"/>
      <w:szCs w:val="24"/>
      <w:shd w:val="clear" w:color="auto" w:fill="E0E0E0"/>
      <w:lang w:eastAsia="cs-CZ"/>
    </w:rPr>
  </w:style>
  <w:style w:type="character" w:customStyle="1" w:styleId="Nadpis8Char">
    <w:name w:val="Nadpis 8 Char"/>
    <w:basedOn w:val="Standardnpsmoodstavce"/>
    <w:link w:val="Nadpis8"/>
    <w:rsid w:val="00B023EF"/>
    <w:rPr>
      <w:rFonts w:ascii="Arial Black" w:eastAsia="Times New Roman" w:hAnsi="Arial Black" w:cs="Times New Roman"/>
      <w:color w:val="000000"/>
      <w:sz w:val="60"/>
      <w:szCs w:val="70"/>
      <w:shd w:val="clear" w:color="auto" w:fill="D9D9D9"/>
      <w:lang w:eastAsia="cs-CZ"/>
    </w:rPr>
  </w:style>
  <w:style w:type="character" w:customStyle="1" w:styleId="Nadpis9Char">
    <w:name w:val="Nadpis 9 Char"/>
    <w:basedOn w:val="Standardnpsmoodstavce"/>
    <w:link w:val="Nadpis9"/>
    <w:rsid w:val="00B023EF"/>
    <w:rPr>
      <w:rFonts w:ascii="Arial Black" w:eastAsia="Times New Roman" w:hAnsi="Arial Black" w:cs="Times New Roman"/>
      <w:color w:val="000000"/>
      <w:sz w:val="7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KACR - Jitka Pagacova</dc:creator>
  <cp:lastModifiedBy>KACR - Jitka Pagacova</cp:lastModifiedBy>
  <cp:revision>1</cp:revision>
  <dcterms:created xsi:type="dcterms:W3CDTF">2020-03-18T08:42:00Z</dcterms:created>
  <dcterms:modified xsi:type="dcterms:W3CDTF">2020-03-18T08:43:00Z</dcterms:modified>
</cp:coreProperties>
</file>