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A2" w:rsidRDefault="003A6FA2" w:rsidP="00A04186">
      <w:pPr>
        <w:jc w:val="right"/>
        <w:rPr>
          <w:b/>
        </w:rPr>
      </w:pPr>
      <w:bookmarkStart w:id="0" w:name="_GoBack"/>
      <w:bookmarkEnd w:id="0"/>
      <w:r>
        <w:rPr>
          <w:b/>
        </w:rPr>
        <w:t>III.</w:t>
      </w:r>
    </w:p>
    <w:p w:rsidR="003A6FA2" w:rsidRPr="00FE04EA" w:rsidRDefault="003A6FA2" w:rsidP="0095000A">
      <w:pPr>
        <w:jc w:val="both"/>
        <w:rPr>
          <w:b/>
          <w:spacing w:val="20"/>
          <w:position w:val="6"/>
        </w:rPr>
      </w:pPr>
    </w:p>
    <w:p w:rsidR="003A6FA2" w:rsidRDefault="003A6FA2" w:rsidP="00A04186">
      <w:pPr>
        <w:jc w:val="center"/>
        <w:rPr>
          <w:b/>
        </w:rPr>
      </w:pPr>
      <w:r>
        <w:rPr>
          <w:b/>
        </w:rPr>
        <w:t>Návrh</w:t>
      </w:r>
    </w:p>
    <w:p w:rsidR="003A6FA2" w:rsidRDefault="003A6FA2" w:rsidP="00A04186">
      <w:pPr>
        <w:jc w:val="center"/>
        <w:rPr>
          <w:b/>
        </w:rPr>
      </w:pPr>
    </w:p>
    <w:p w:rsidR="003A6FA2" w:rsidRDefault="003A6FA2" w:rsidP="00A04186">
      <w:pPr>
        <w:jc w:val="center"/>
        <w:rPr>
          <w:b/>
        </w:rPr>
      </w:pPr>
      <w:r>
        <w:rPr>
          <w:b/>
        </w:rPr>
        <w:t>ODŮVODNĚNÍ</w:t>
      </w:r>
    </w:p>
    <w:p w:rsidR="003A6FA2" w:rsidRDefault="003A6FA2" w:rsidP="0095000A">
      <w:pPr>
        <w:jc w:val="both"/>
        <w:rPr>
          <w:b/>
        </w:rPr>
      </w:pPr>
    </w:p>
    <w:p w:rsidR="003A6FA2" w:rsidRDefault="003A6FA2" w:rsidP="0095000A">
      <w:pPr>
        <w:jc w:val="both"/>
      </w:pPr>
    </w:p>
    <w:p w:rsidR="003A6FA2" w:rsidRDefault="003A6FA2" w:rsidP="00772AA0">
      <w:pPr>
        <w:jc w:val="center"/>
        <w:rPr>
          <w:b/>
        </w:rPr>
      </w:pPr>
      <w:r>
        <w:rPr>
          <w:b/>
        </w:rPr>
        <w:t>OBECNÁ ČÁST</w:t>
      </w:r>
    </w:p>
    <w:p w:rsidR="003A6FA2" w:rsidRDefault="003A6FA2" w:rsidP="0095000A">
      <w:pPr>
        <w:jc w:val="both"/>
        <w:rPr>
          <w:b/>
        </w:rPr>
      </w:pPr>
    </w:p>
    <w:p w:rsidR="003A6FA2" w:rsidRDefault="003A6FA2" w:rsidP="0095000A">
      <w:pPr>
        <w:jc w:val="both"/>
      </w:pPr>
    </w:p>
    <w:p w:rsidR="003A6FA2" w:rsidRPr="00772AA0" w:rsidRDefault="003A6FA2" w:rsidP="0095000A">
      <w:pPr>
        <w:pStyle w:val="Zkladntext2"/>
        <w:jc w:val="both"/>
        <w:rPr>
          <w:b/>
          <w:iCs/>
        </w:rPr>
      </w:pPr>
      <w:r w:rsidRPr="00772AA0">
        <w:rPr>
          <w:b/>
          <w:iCs/>
        </w:rPr>
        <w:t>1. Název</w:t>
      </w:r>
    </w:p>
    <w:p w:rsidR="003A6FA2" w:rsidRDefault="003A6FA2" w:rsidP="003E39B5">
      <w:pPr>
        <w:pStyle w:val="Zkladntextodsazen2"/>
        <w:spacing w:line="240" w:lineRule="auto"/>
        <w:ind w:left="0"/>
        <w:jc w:val="both"/>
      </w:pPr>
      <w:r w:rsidRPr="00A875A6">
        <w:t>N</w:t>
      </w:r>
      <w:r>
        <w:t xml:space="preserve">ávrh vyhlášky, kterou se mění vyhláška č. 501/2002 Sb., kterou se provádějí některá ustanovení zákona č. 563/1991 Sb., o účetnictví, ve znění pozdějších předpisů, pro účetní jednotky, které jsou </w:t>
      </w:r>
      <w:r w:rsidRPr="00292A58">
        <w:t>bankami a jinými finančními institucemi</w:t>
      </w:r>
      <w:r>
        <w:t>, ve znění pozdějších předpisů (dále jen „návrh novely vyhlášky“).</w:t>
      </w:r>
    </w:p>
    <w:p w:rsidR="003A6FA2" w:rsidRDefault="003A6FA2" w:rsidP="00772AA0">
      <w:pPr>
        <w:jc w:val="both"/>
        <w:rPr>
          <w:b/>
        </w:rPr>
      </w:pPr>
    </w:p>
    <w:p w:rsidR="003A6FA2" w:rsidRDefault="003A6FA2" w:rsidP="00772AA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FF5798">
        <w:rPr>
          <w:b/>
        </w:rPr>
        <w:t xml:space="preserve">Vysvětlení nezbytnosti navrhované právní úpravy, odůvodnění jejích hlavních principů </w:t>
      </w:r>
    </w:p>
    <w:p w:rsidR="003A6FA2" w:rsidRDefault="003A6FA2" w:rsidP="00772AA0">
      <w:pPr>
        <w:jc w:val="both"/>
        <w:rPr>
          <w:b/>
        </w:rPr>
      </w:pPr>
    </w:p>
    <w:p w:rsidR="005554AF" w:rsidRDefault="0025314B" w:rsidP="003E39B5">
      <w:pPr>
        <w:jc w:val="both"/>
      </w:pPr>
      <w:r>
        <w:t>Důvod předložení návrhu novely vyhlášky je dán využitím diskrece čl. 8 odst. 6</w:t>
      </w:r>
      <w:r w:rsidR="00A875A6">
        <w:t xml:space="preserve"> ve vazbě na čl. 8 odst. 1 písm. a)</w:t>
      </w:r>
      <w:r>
        <w:t xml:space="preserve"> směrnice Evropského parlamentu a Rady 2013/34/EU ze dne 26. června 2013, o ročních účetních závěrkách, konsolidovaných účetních závěrkách a souvisejících zprávách některých forem podniků, o změně směrnice Evropského parlamentu a Rady 2006/43/ES a o zrušení směrnic Rady 78/660/EHS a 83/349/EHS.</w:t>
      </w:r>
      <w:r w:rsidR="00DC1A39">
        <w:t xml:space="preserve"> Na základě </w:t>
      </w:r>
      <w:r w:rsidR="002C1C86">
        <w:t>této diskrece</w:t>
      </w:r>
      <w:r w:rsidR="00DC1A39">
        <w:t xml:space="preserve"> je členským státům povoleno vyžadovat nebo povolit použití mezinárodních účetních standardů přijatých podle nařízení Evropského parlamentu a Rady (ES) č. 1606/2002</w:t>
      </w:r>
      <w:r w:rsidR="005554AF">
        <w:t>, pokud jde o zachycování, oceňování</w:t>
      </w:r>
      <w:r w:rsidR="00135058">
        <w:t xml:space="preserve"> finančních nástrojů</w:t>
      </w:r>
      <w:r w:rsidR="005554AF">
        <w:t xml:space="preserve"> a uvádění informací o </w:t>
      </w:r>
      <w:r w:rsidR="00135058">
        <w:t>nich</w:t>
      </w:r>
      <w:r w:rsidR="00A875A6">
        <w:t xml:space="preserve"> od jakýchkoli podniků, které spadají do působnosti zmíněné směrnice</w:t>
      </w:r>
      <w:r w:rsidR="00DC1A39">
        <w:t>.</w:t>
      </w:r>
      <w:r w:rsidR="005554AF">
        <w:t xml:space="preserve"> </w:t>
      </w:r>
    </w:p>
    <w:p w:rsidR="005554AF" w:rsidRDefault="005554AF" w:rsidP="003E39B5">
      <w:pPr>
        <w:jc w:val="both"/>
      </w:pPr>
    </w:p>
    <w:p w:rsidR="0020429A" w:rsidRDefault="005554AF" w:rsidP="003E39B5">
      <w:pPr>
        <w:jc w:val="both"/>
      </w:pPr>
      <w:r>
        <w:t>Předložený návrh novely vyhlášky,</w:t>
      </w:r>
      <w:r w:rsidRPr="00B740FE">
        <w:t xml:space="preserve"> stejně jako současné z</w:t>
      </w:r>
      <w:r>
        <w:t>nění vyhlášky,</w:t>
      </w:r>
      <w:r w:rsidRPr="00B740FE">
        <w:t xml:space="preserve"> vychází</w:t>
      </w:r>
      <w:r>
        <w:t xml:space="preserve"> z požadavků nařízení (ES) č. 1126/2008,</w:t>
      </w:r>
      <w:r w:rsidRPr="005554AF">
        <w:t xml:space="preserve"> </w:t>
      </w:r>
      <w:r w:rsidRPr="002A6DFE">
        <w:t>kterým se přijímají některé mezinárodní účetní standardy v souladu s nařízením Evropského parlamentu a Rady (ES) č. 1606/2002</w:t>
      </w:r>
      <w:r>
        <w:t>.</w:t>
      </w:r>
      <w:r w:rsidR="00135058">
        <w:t xml:space="preserve"> Předložený návrh novely vyhlášky reaguje na nařízení komise (EU) 2016/2067 ze dne 22. listopadu 2016, </w:t>
      </w:r>
      <w:r w:rsidR="00135058" w:rsidRPr="002A6DFE">
        <w:t>kterým se mění nařízení (ES) č. 1126/2008, kterým se přijímají některé mezinárodní účetní standardy v souladu s nařízením Evropského parlamentu a Rady (ES) č. 1606/2002, pokud jde o Mezinárodní standard účetního výkaznictví 9</w:t>
      </w:r>
      <w:r w:rsidR="00135058">
        <w:t xml:space="preserve"> – Finanční nástroje (dále jen „IFRS 9“).</w:t>
      </w:r>
      <w:r w:rsidR="0020429A">
        <w:t xml:space="preserve"> </w:t>
      </w:r>
    </w:p>
    <w:p w:rsidR="0020429A" w:rsidRDefault="0020429A" w:rsidP="003E39B5">
      <w:pPr>
        <w:jc w:val="both"/>
      </w:pPr>
    </w:p>
    <w:p w:rsidR="0025314B" w:rsidRDefault="0020429A" w:rsidP="003E39B5">
      <w:pPr>
        <w:jc w:val="both"/>
      </w:pPr>
      <w:r>
        <w:t xml:space="preserve">IFRS 9 nahrazuje stávající standard IAS 39, který je implementován do stávajícího znění vyhlášky č. 501/2002 Sb.   </w:t>
      </w:r>
    </w:p>
    <w:p w:rsidR="005554AF" w:rsidRDefault="005554AF" w:rsidP="003E39B5">
      <w:pPr>
        <w:jc w:val="both"/>
      </w:pPr>
    </w:p>
    <w:p w:rsidR="003A6FA2" w:rsidRDefault="003A6FA2" w:rsidP="003E39B5">
      <w:pPr>
        <w:jc w:val="both"/>
      </w:pPr>
      <w:r>
        <w:t>Návrh novely vyhlášky dále obsahuje i úprav</w:t>
      </w:r>
      <w:r w:rsidR="002A6DFE">
        <w:t>u</w:t>
      </w:r>
      <w:r>
        <w:t xml:space="preserve"> </w:t>
      </w:r>
      <w:r w:rsidR="002A6DFE">
        <w:t>související se zákonem č. 257/2016 Sb., o spotřebitelských úvěrech</w:t>
      </w:r>
      <w:r>
        <w:t>.</w:t>
      </w:r>
    </w:p>
    <w:p w:rsidR="003A6FA2" w:rsidRDefault="003A6FA2" w:rsidP="00772AA0">
      <w:pPr>
        <w:ind w:firstLine="708"/>
        <w:jc w:val="both"/>
      </w:pPr>
    </w:p>
    <w:p w:rsidR="003A6FA2" w:rsidRDefault="003A6FA2" w:rsidP="003E39B5">
      <w:pPr>
        <w:jc w:val="both"/>
      </w:pPr>
      <w:r>
        <w:t xml:space="preserve">Cílem předloženého návrhu novely vyhlášky je docílení stavu, který zajistí její </w:t>
      </w:r>
      <w:r w:rsidRPr="00E65F85">
        <w:t>věcný i formální</w:t>
      </w:r>
      <w:r>
        <w:t xml:space="preserve"> soulad s výše uvedenými právními předpisy a zvýší tím i právní jistotu</w:t>
      </w:r>
      <w:r w:rsidR="004449F1">
        <w:t xml:space="preserve"> dotčených</w:t>
      </w:r>
      <w:r>
        <w:t xml:space="preserve"> účetních jednotek. </w:t>
      </w:r>
      <w:r w:rsidRPr="00487300">
        <w:t xml:space="preserve">Pokud by vyhláška č. 501/2002 Sb., ve znění pozdějších předpisů, nebyla novelizována, </w:t>
      </w:r>
      <w:r>
        <w:t>nebyly by provedeny nutné změny vyplývající z výše uveden</w:t>
      </w:r>
      <w:r w:rsidR="0001319E">
        <w:t>ých právních předpisů</w:t>
      </w:r>
      <w:r>
        <w:t xml:space="preserve">. </w:t>
      </w:r>
      <w:r w:rsidRPr="00E65F85">
        <w:t>Tím by došlo ke ztížení vedení účetnictví bank a jiných finančních institucí.</w:t>
      </w:r>
    </w:p>
    <w:p w:rsidR="00402281" w:rsidRDefault="00402281" w:rsidP="00402281">
      <w:pPr>
        <w:jc w:val="both"/>
      </w:pPr>
    </w:p>
    <w:p w:rsidR="00402281" w:rsidRPr="00831ED4" w:rsidRDefault="00402281" w:rsidP="00402281">
      <w:pPr>
        <w:jc w:val="both"/>
      </w:pPr>
      <w:r>
        <w:t>Zachování stávajícího stavu by vyvolalo právní nejistotu dotčených účetních jednotek a také</w:t>
      </w:r>
      <w:r w:rsidR="004449F1">
        <w:t xml:space="preserve"> by</w:t>
      </w:r>
      <w:r>
        <w:t xml:space="preserve"> zapříčinilo nadbytečné administrativní náklady související s činností dotčených účetních jednotek. </w:t>
      </w:r>
    </w:p>
    <w:p w:rsidR="003A6FA2" w:rsidRDefault="003A6FA2" w:rsidP="007F71CA">
      <w:pPr>
        <w:jc w:val="both"/>
      </w:pPr>
    </w:p>
    <w:p w:rsidR="003A6FA2" w:rsidRDefault="003A6FA2" w:rsidP="003E39B5">
      <w:pPr>
        <w:jc w:val="both"/>
      </w:pPr>
      <w:r>
        <w:t xml:space="preserve">Dotčenými subjekty budou účetní jednotky, které se řídí vyhláškou č. 501/2002 Sb. </w:t>
      </w:r>
    </w:p>
    <w:p w:rsidR="003A6FA2" w:rsidRDefault="003A6FA2" w:rsidP="007F71CA">
      <w:pPr>
        <w:pStyle w:val="Zkladntext2"/>
        <w:spacing w:after="0" w:line="240" w:lineRule="auto"/>
        <w:jc w:val="both"/>
        <w:rPr>
          <w:iCs/>
        </w:rPr>
      </w:pPr>
    </w:p>
    <w:p w:rsidR="003A6FA2" w:rsidRDefault="003A6FA2" w:rsidP="003E39B5">
      <w:pPr>
        <w:jc w:val="both"/>
      </w:pPr>
      <w:r>
        <w:t xml:space="preserve">Návrh novely vyhlášky nepředpokládá hospodářský ani finanční dopad na prostředí </w:t>
      </w:r>
      <w:r w:rsidRPr="00292A58">
        <w:t>bank a jiný</w:t>
      </w:r>
      <w:r>
        <w:t>ch</w:t>
      </w:r>
      <w:r w:rsidRPr="00292A58">
        <w:t xml:space="preserve"> finanční</w:t>
      </w:r>
      <w:r>
        <w:t>ch</w:t>
      </w:r>
      <w:r w:rsidRPr="00292A58">
        <w:t xml:space="preserve"> instituc</w:t>
      </w:r>
      <w:r>
        <w:t>í.</w:t>
      </w:r>
    </w:p>
    <w:p w:rsidR="003A6FA2" w:rsidRDefault="003A6FA2" w:rsidP="007F71CA">
      <w:pPr>
        <w:pStyle w:val="Zkladntext2"/>
        <w:spacing w:after="0" w:line="240" w:lineRule="auto"/>
        <w:jc w:val="both"/>
      </w:pPr>
    </w:p>
    <w:p w:rsidR="003A6FA2" w:rsidRDefault="003A6FA2" w:rsidP="003E39B5">
      <w:pPr>
        <w:pStyle w:val="Parlament"/>
        <w:keepNext w:val="0"/>
        <w:keepLines w:val="0"/>
        <w:spacing w:before="0" w:after="0"/>
      </w:pPr>
      <w:r>
        <w:t xml:space="preserve">Při projednávání </w:t>
      </w:r>
      <w:r w:rsidR="004449F1">
        <w:t>návrhu novely</w:t>
      </w:r>
      <w:r>
        <w:t xml:space="preserve"> vyhlášky </w:t>
      </w:r>
      <w:r>
        <w:rPr>
          <w:szCs w:val="24"/>
        </w:rPr>
        <w:t xml:space="preserve">proběhly konzultace především se zástupci odborné veřejnosti, zejména </w:t>
      </w:r>
      <w:r w:rsidR="000800BD">
        <w:rPr>
          <w:szCs w:val="24"/>
        </w:rPr>
        <w:t>České národní banky a České bankovní asociace</w:t>
      </w:r>
      <w:r>
        <w:rPr>
          <w:szCs w:val="24"/>
        </w:rPr>
        <w:t>.</w:t>
      </w:r>
    </w:p>
    <w:p w:rsidR="003A6FA2" w:rsidRDefault="003A6FA2" w:rsidP="007F71CA">
      <w:pPr>
        <w:jc w:val="both"/>
      </w:pPr>
    </w:p>
    <w:p w:rsidR="003A6FA2" w:rsidRDefault="003A6FA2" w:rsidP="003E39B5">
      <w:pPr>
        <w:jc w:val="both"/>
      </w:pPr>
      <w:r>
        <w:t>Návrh novely vyhlášky nepředpokládá hospodářský ani finanční dopad na státní rozpočet České republiky</w:t>
      </w:r>
      <w:r w:rsidR="00402281">
        <w:t>,</w:t>
      </w:r>
      <w:r>
        <w:t xml:space="preserve"> ostatní veřejné rozpočty</w:t>
      </w:r>
      <w:r w:rsidR="00402281" w:rsidRPr="00402281">
        <w:t xml:space="preserve"> a</w:t>
      </w:r>
      <w:r w:rsidR="00402281">
        <w:t>ni</w:t>
      </w:r>
      <w:r w:rsidR="00402281" w:rsidRPr="00402281">
        <w:t xml:space="preserve"> na podnikatelské prostředí v České republice, dále sociální dopady včetně dopadů na specifické skupiny obyvatel, zejména osoby sociálně slabé, osoby se zdravotním postižením a národnostní menšiny, a dopady na životní prostředí</w:t>
      </w:r>
      <w:r>
        <w:t>.</w:t>
      </w:r>
    </w:p>
    <w:p w:rsidR="000800BD" w:rsidRDefault="000800BD" w:rsidP="003E39B5">
      <w:pPr>
        <w:jc w:val="both"/>
      </w:pPr>
    </w:p>
    <w:p w:rsidR="003A6FA2" w:rsidRDefault="003A6FA2" w:rsidP="003E39B5">
      <w:pPr>
        <w:jc w:val="both"/>
      </w:pPr>
      <w:r>
        <w:t>Návrh novely vyhlášky nepředpokládá dopady ve vztahu k zákazu diskriminace</w:t>
      </w:r>
      <w:r w:rsidR="00402281">
        <w:t xml:space="preserve"> a ve vztahu k rovnosti mužů a žen</w:t>
      </w:r>
      <w:r>
        <w:t>.</w:t>
      </w:r>
    </w:p>
    <w:p w:rsidR="00114A3E" w:rsidRDefault="00114A3E" w:rsidP="00114A3E">
      <w:pPr>
        <w:pStyle w:val="Zkladntext"/>
      </w:pPr>
    </w:p>
    <w:p w:rsidR="00114A3E" w:rsidRDefault="00114A3E" w:rsidP="00114A3E">
      <w:pPr>
        <w:pStyle w:val="Zkladntext"/>
      </w:pPr>
      <w:r>
        <w:t>Návrh novely vyhlášky nepředpokládá korupční rizika.</w:t>
      </w:r>
    </w:p>
    <w:p w:rsidR="003A6FA2" w:rsidRDefault="003A6FA2" w:rsidP="007F71CA">
      <w:pPr>
        <w:jc w:val="both"/>
      </w:pPr>
    </w:p>
    <w:p w:rsidR="003A6FA2" w:rsidRDefault="003A6FA2" w:rsidP="003E39B5">
      <w:pPr>
        <w:pStyle w:val="Zkladntext"/>
      </w:pPr>
      <w:r w:rsidRPr="000C6FD0">
        <w:t>Návrh novely vyhlášky nepředpokládá dopady ve vztahu k ochraně soukromí a osobních údajů.</w:t>
      </w:r>
    </w:p>
    <w:p w:rsidR="003A6FA2" w:rsidRDefault="003A6FA2" w:rsidP="007F71CA">
      <w:pPr>
        <w:jc w:val="both"/>
      </w:pPr>
    </w:p>
    <w:p w:rsidR="00114A3E" w:rsidRDefault="00114A3E" w:rsidP="00114A3E">
      <w:pPr>
        <w:pStyle w:val="Zkladntext"/>
      </w:pPr>
      <w:r w:rsidRPr="000C6FD0">
        <w:t xml:space="preserve">Návrh novely vyhlášky nepředpokládá dopady </w:t>
      </w:r>
      <w:r>
        <w:t>na bezpečnost nebo obranu státu</w:t>
      </w:r>
      <w:r w:rsidRPr="000C6FD0">
        <w:t>.</w:t>
      </w:r>
    </w:p>
    <w:p w:rsidR="00114A3E" w:rsidRDefault="00114A3E" w:rsidP="007F71CA">
      <w:pPr>
        <w:jc w:val="both"/>
      </w:pPr>
    </w:p>
    <w:p w:rsidR="003A6FA2" w:rsidRDefault="003A6FA2" w:rsidP="003E39B5">
      <w:pPr>
        <w:jc w:val="both"/>
      </w:pPr>
      <w:r>
        <w:t xml:space="preserve">Odpovědnost za vedení účetnictví mají </w:t>
      </w:r>
      <w:r w:rsidRPr="00292A58">
        <w:t>bank</w:t>
      </w:r>
      <w:r>
        <w:t>y</w:t>
      </w:r>
      <w:r w:rsidRPr="00292A58">
        <w:t xml:space="preserve"> a jin</w:t>
      </w:r>
      <w:r>
        <w:t>é</w:t>
      </w:r>
      <w:r w:rsidRPr="00292A58">
        <w:t xml:space="preserve"> finanční instituce</w:t>
      </w:r>
      <w:r>
        <w:t xml:space="preserve"> jako účetní jednotky, které jsou povinny postupovat podle právních předpisů v oblasti účetnictví.</w:t>
      </w:r>
    </w:p>
    <w:p w:rsidR="003A6FA2" w:rsidRDefault="003A6FA2" w:rsidP="00404637">
      <w:pPr>
        <w:ind w:firstLine="720"/>
        <w:jc w:val="both"/>
      </w:pPr>
    </w:p>
    <w:p w:rsidR="003A6FA2" w:rsidRPr="009B4845" w:rsidRDefault="003A6FA2" w:rsidP="003E39B5">
      <w:pPr>
        <w:jc w:val="both"/>
      </w:pPr>
      <w:r w:rsidRPr="009B4845">
        <w:rPr>
          <w:bCs/>
        </w:rPr>
        <w:t xml:space="preserve">Ke kontrole dodržování povinností stanovených </w:t>
      </w:r>
      <w:r>
        <w:rPr>
          <w:bCs/>
        </w:rPr>
        <w:t>účetními předpisy</w:t>
      </w:r>
      <w:r w:rsidRPr="009B4845">
        <w:rPr>
          <w:bCs/>
        </w:rPr>
        <w:t xml:space="preserve"> a k ukládání pokut a povinnosti odstranit protiprávní stav podle </w:t>
      </w:r>
      <w:r>
        <w:rPr>
          <w:bCs/>
        </w:rPr>
        <w:t>účetních předpisů</w:t>
      </w:r>
      <w:r w:rsidRPr="009B4845">
        <w:rPr>
          <w:bCs/>
        </w:rPr>
        <w:t xml:space="preserve"> jsou příslušné územní finanční </w:t>
      </w:r>
      <w:r w:rsidR="004D3461">
        <w:rPr>
          <w:bCs/>
        </w:rPr>
        <w:t>úřady</w:t>
      </w:r>
      <w:r w:rsidRPr="009B4845">
        <w:rPr>
          <w:bCs/>
        </w:rPr>
        <w:t>, nestanoví-li jiný právní předpis tuto pravomoc i jinému orgánu.</w:t>
      </w:r>
    </w:p>
    <w:p w:rsidR="003A6FA2" w:rsidRDefault="003A6FA2" w:rsidP="007F71CA">
      <w:pPr>
        <w:pStyle w:val="Nadpis3"/>
        <w:keepNext w:val="0"/>
        <w:jc w:val="both"/>
        <w:rPr>
          <w:b w:val="0"/>
          <w:i/>
        </w:rPr>
      </w:pPr>
    </w:p>
    <w:p w:rsidR="003A6FA2" w:rsidRPr="007F71CA" w:rsidRDefault="003A6FA2" w:rsidP="003E39B5">
      <w:pPr>
        <w:jc w:val="both"/>
        <w:rPr>
          <w:bCs/>
        </w:rPr>
      </w:pPr>
      <w:r w:rsidRPr="007F71CA">
        <w:rPr>
          <w:bCs/>
        </w:rPr>
        <w:t>Dopad (efektivnost) předloženého návrhu</w:t>
      </w:r>
      <w:r w:rsidR="004449F1">
        <w:rPr>
          <w:bCs/>
        </w:rPr>
        <w:t xml:space="preserve"> novely</w:t>
      </w:r>
      <w:r w:rsidRPr="007F71CA">
        <w:rPr>
          <w:bCs/>
        </w:rPr>
        <w:t xml:space="preserve"> </w:t>
      </w:r>
      <w:r>
        <w:rPr>
          <w:bCs/>
        </w:rPr>
        <w:t>vyhlášky</w:t>
      </w:r>
      <w:r w:rsidRPr="007F71CA">
        <w:rPr>
          <w:bCs/>
        </w:rPr>
        <w:t xml:space="preserve"> lze ověřit v praxi běžnými metodami správní kontroly a dozoru, popř. vyhodnocováním aplikace příslušných ustanovení.</w:t>
      </w:r>
    </w:p>
    <w:p w:rsidR="003A6FA2" w:rsidRDefault="003A6FA2" w:rsidP="0095000A">
      <w:pPr>
        <w:jc w:val="both"/>
      </w:pPr>
    </w:p>
    <w:p w:rsidR="003A6FA2" w:rsidRDefault="003A6FA2" w:rsidP="0095000A">
      <w:pPr>
        <w:ind w:left="360" w:hanging="360"/>
        <w:jc w:val="both"/>
        <w:rPr>
          <w:b/>
          <w:bCs/>
        </w:rPr>
      </w:pPr>
      <w:r>
        <w:rPr>
          <w:b/>
          <w:bCs/>
        </w:rPr>
        <w:t>3. Zhodnocení souladu navrhované právní úpravy se zákonem o účetnictví a předpisy Evropské unie</w:t>
      </w:r>
    </w:p>
    <w:p w:rsidR="003A6FA2" w:rsidRDefault="003A6FA2" w:rsidP="0095000A">
      <w:pPr>
        <w:ind w:left="360" w:hanging="360"/>
        <w:jc w:val="both"/>
        <w:rPr>
          <w:bCs/>
        </w:rPr>
      </w:pPr>
    </w:p>
    <w:p w:rsidR="00114A3E" w:rsidRDefault="00114A3E" w:rsidP="003E39B5">
      <w:pPr>
        <w:pStyle w:val="Zkladntextodsazen2"/>
        <w:spacing w:line="240" w:lineRule="auto"/>
        <w:ind w:left="0"/>
        <w:jc w:val="both"/>
      </w:pPr>
      <w:r w:rsidRPr="00114A3E">
        <w:t>Předložený návrh</w:t>
      </w:r>
      <w:r w:rsidR="004449F1">
        <w:t xml:space="preserve"> novely</w:t>
      </w:r>
      <w:r w:rsidRPr="00114A3E">
        <w:t xml:space="preserve"> vyhlášky je v souladu s ústavním pořádkem České republiky, s Listinou základních práv a svobod a s Ústavou České republiky. Návrh</w:t>
      </w:r>
      <w:r w:rsidR="004449F1">
        <w:t xml:space="preserve"> novely</w:t>
      </w:r>
      <w:r w:rsidRPr="00114A3E">
        <w:t xml:space="preserve"> vyhlášky respektuje obecné zásady ústavního pořádku České republiky a je též v souladu s právními předpisy upravujícími oblast působnosti ústředních orgánů státní správy České republiky.</w:t>
      </w:r>
    </w:p>
    <w:p w:rsidR="003A6FA2" w:rsidRDefault="004449F1" w:rsidP="003E39B5">
      <w:pPr>
        <w:pStyle w:val="Zkladntextodsazen2"/>
        <w:spacing w:line="240" w:lineRule="auto"/>
        <w:ind w:left="0"/>
        <w:jc w:val="both"/>
      </w:pPr>
      <w:r>
        <w:t>Návrh novely</w:t>
      </w:r>
      <w:r w:rsidR="003A6FA2">
        <w:t xml:space="preserve"> vyhlášky </w:t>
      </w:r>
      <w:r>
        <w:t>je</w:t>
      </w:r>
      <w:r w:rsidR="003A6FA2">
        <w:t xml:space="preserve"> v souladu se zákonem</w:t>
      </w:r>
      <w:r>
        <w:t xml:space="preserve"> č. 563/1991 Sb., </w:t>
      </w:r>
      <w:r w:rsidR="003A6FA2">
        <w:t>o účetnictví</w:t>
      </w:r>
      <w:r>
        <w:t>, ve znění pozdějších předpisů (dále „zákon o účetnictví“)</w:t>
      </w:r>
      <w:r w:rsidR="003A6FA2">
        <w:t xml:space="preserve"> a nepřekračuj</w:t>
      </w:r>
      <w:r w:rsidR="00C01146">
        <w:t>e</w:t>
      </w:r>
      <w:r w:rsidR="003A6FA2">
        <w:t xml:space="preserve"> zákonná zmocnění v § 37b tohoto zákona.</w:t>
      </w:r>
    </w:p>
    <w:p w:rsidR="003A6FA2" w:rsidRPr="00B740FE" w:rsidRDefault="003A6FA2" w:rsidP="003E39B5">
      <w:pPr>
        <w:spacing w:before="240"/>
        <w:jc w:val="both"/>
      </w:pPr>
      <w:r>
        <w:lastRenderedPageBreak/>
        <w:t>Návrh novely vyhlášky</w:t>
      </w:r>
      <w:r w:rsidRPr="00B740FE">
        <w:t xml:space="preserve"> je plně slučitelný</w:t>
      </w:r>
      <w:r>
        <w:t xml:space="preserve"> s </w:t>
      </w:r>
      <w:r w:rsidRPr="00B740FE">
        <w:t>právem Evropské unie</w:t>
      </w:r>
      <w:r>
        <w:t xml:space="preserve"> a </w:t>
      </w:r>
      <w:r w:rsidRPr="00B740FE">
        <w:t>ustanovení navrhované právní úpravy nezakládají rozpor</w:t>
      </w:r>
      <w:r>
        <w:t xml:space="preserve"> s </w:t>
      </w:r>
      <w:r w:rsidRPr="00B740FE">
        <w:t>primárním právem Evropské unie</w:t>
      </w:r>
      <w:r>
        <w:t xml:space="preserve"> ve </w:t>
      </w:r>
      <w:r w:rsidRPr="00B740FE">
        <w:t>světle ustálené judikatury Soudního dvora Evropské unie.</w:t>
      </w:r>
    </w:p>
    <w:p w:rsidR="003A6FA2" w:rsidRDefault="003A6FA2" w:rsidP="0095000A">
      <w:pPr>
        <w:autoSpaceDE w:val="0"/>
        <w:autoSpaceDN w:val="0"/>
        <w:adjustRightInd w:val="0"/>
        <w:ind w:firstLine="708"/>
        <w:jc w:val="both"/>
      </w:pPr>
    </w:p>
    <w:p w:rsidR="00055348" w:rsidRDefault="003A6FA2" w:rsidP="00055348">
      <w:pPr>
        <w:autoSpaceDE w:val="0"/>
        <w:autoSpaceDN w:val="0"/>
        <w:adjustRightInd w:val="0"/>
        <w:jc w:val="both"/>
      </w:pPr>
      <w:r w:rsidRPr="00B740FE">
        <w:t>S poukazem</w:t>
      </w:r>
      <w:r>
        <w:t xml:space="preserve"> na </w:t>
      </w:r>
      <w:r w:rsidRPr="00B740FE">
        <w:t>sekundární právo Evropské unie lze konstatovat, že také</w:t>
      </w:r>
      <w:r>
        <w:t xml:space="preserve"> v </w:t>
      </w:r>
      <w:r w:rsidRPr="00B740FE">
        <w:t>tomto ohledu je předkládaná právní úprava slučitelná</w:t>
      </w:r>
      <w:r>
        <w:t xml:space="preserve"> s </w:t>
      </w:r>
      <w:r w:rsidRPr="00B740FE">
        <w:t>právními akty Evropské unie.</w:t>
      </w:r>
      <w:r w:rsidR="00055348" w:rsidRPr="00055348">
        <w:t xml:space="preserve"> </w:t>
      </w:r>
      <w:r w:rsidR="00055348">
        <w:t>Návrh novely vyhlášky je v souladu se směrnicí 2013/34/EU a využívá diskrec</w:t>
      </w:r>
      <w:r w:rsidR="00FF25AD">
        <w:t>i</w:t>
      </w:r>
      <w:r w:rsidR="00055348">
        <w:t xml:space="preserve"> danou čl. 8 odst. 6 této směrnice.</w:t>
      </w:r>
    </w:p>
    <w:p w:rsidR="00AB1AE5" w:rsidRDefault="00AB1AE5" w:rsidP="003E39B5">
      <w:pPr>
        <w:autoSpaceDE w:val="0"/>
        <w:autoSpaceDN w:val="0"/>
        <w:adjustRightInd w:val="0"/>
        <w:jc w:val="both"/>
      </w:pPr>
    </w:p>
    <w:p w:rsidR="000800BD" w:rsidRDefault="00114A3E" w:rsidP="003E39B5">
      <w:pPr>
        <w:autoSpaceDE w:val="0"/>
        <w:autoSpaceDN w:val="0"/>
        <w:adjustRightInd w:val="0"/>
        <w:jc w:val="both"/>
      </w:pPr>
      <w:r>
        <w:t xml:space="preserve">Návrh </w:t>
      </w:r>
      <w:r w:rsidR="0048291B">
        <w:t>novel</w:t>
      </w:r>
      <w:r w:rsidR="00283455">
        <w:t>y</w:t>
      </w:r>
      <w:r w:rsidR="0048291B">
        <w:t xml:space="preserve"> </w:t>
      </w:r>
      <w:r>
        <w:t>v</w:t>
      </w:r>
      <w:r w:rsidR="003A6FA2">
        <w:t>yhlášk</w:t>
      </w:r>
      <w:r>
        <w:t>y</w:t>
      </w:r>
      <w:r w:rsidR="00055348">
        <w:t xml:space="preserve"> dále</w:t>
      </w:r>
      <w:r w:rsidR="003A6FA2">
        <w:t xml:space="preserve"> </w:t>
      </w:r>
      <w:r w:rsidR="00283455">
        <w:t xml:space="preserve">implementuje </w:t>
      </w:r>
      <w:r w:rsidR="003A6FA2" w:rsidRPr="00B740FE">
        <w:t xml:space="preserve">požadavky </w:t>
      </w:r>
      <w:r w:rsidR="000800BD">
        <w:t xml:space="preserve">Nařízení komise (EU) 2016/2067 ze dne 22. listopadu 2016, </w:t>
      </w:r>
      <w:r w:rsidR="000800BD" w:rsidRPr="000800BD">
        <w:t xml:space="preserve">kterým se mění nařízení (ES) č. 1126/2008, kterým se přijímají některé mezinárodní účetní standardy v souladu s nařízením Evropského parlamentu a Rady (ES) č. 1606/2002, pokud jde o </w:t>
      </w:r>
      <w:r w:rsidR="00283455">
        <w:t>IFRS</w:t>
      </w:r>
      <w:r w:rsidR="000800BD" w:rsidRPr="000800BD">
        <w:t xml:space="preserve"> 9</w:t>
      </w:r>
      <w:r w:rsidR="000800BD">
        <w:t xml:space="preserve"> do právního řádu České republiky.</w:t>
      </w:r>
    </w:p>
    <w:p w:rsidR="003A6FA2" w:rsidRPr="00E178F0" w:rsidRDefault="003A6FA2" w:rsidP="0095000A">
      <w:pPr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3A6FA2" w:rsidRPr="000D69CA" w:rsidRDefault="003A6FA2" w:rsidP="0042700F">
      <w:pPr>
        <w:spacing w:before="240"/>
        <w:jc w:val="both"/>
      </w:pPr>
      <w:r w:rsidRPr="00B740FE">
        <w:t>Navrhovaná právní úprava je</w:t>
      </w:r>
      <w:r>
        <w:t xml:space="preserve"> z </w:t>
      </w:r>
      <w:r w:rsidRPr="00B740FE">
        <w:t>výše uvedených hledisek plně</w:t>
      </w:r>
      <w:r>
        <w:t xml:space="preserve"> v </w:t>
      </w:r>
      <w:r w:rsidRPr="00B740FE">
        <w:t>souladu</w:t>
      </w:r>
      <w:r>
        <w:t xml:space="preserve"> se </w:t>
      </w:r>
      <w:r w:rsidRPr="00B740FE">
        <w:t>závazky, které</w:t>
      </w:r>
      <w:r>
        <w:t xml:space="preserve"> pro </w:t>
      </w:r>
      <w:r w:rsidRPr="00B740FE">
        <w:t>Českou republik</w:t>
      </w:r>
      <w:r>
        <w:t>u</w:t>
      </w:r>
      <w:r w:rsidRPr="00B740FE">
        <w:t xml:space="preserve"> vyplývají</w:t>
      </w:r>
      <w:r>
        <w:t xml:space="preserve"> z </w:t>
      </w:r>
      <w:r w:rsidRPr="00B740FE">
        <w:t>jejího členství</w:t>
      </w:r>
      <w:r>
        <w:t xml:space="preserve"> v </w:t>
      </w:r>
      <w:r w:rsidRPr="00B740FE">
        <w:t>Evropské unii.</w:t>
      </w:r>
    </w:p>
    <w:p w:rsidR="003A6FA2" w:rsidRDefault="003A6FA2" w:rsidP="00D92A3D">
      <w:pPr>
        <w:ind w:left="360" w:hanging="360"/>
        <w:jc w:val="both"/>
        <w:rPr>
          <w:b/>
          <w:bCs/>
        </w:rPr>
      </w:pPr>
    </w:p>
    <w:p w:rsidR="003A6FA2" w:rsidRPr="00D92A3D" w:rsidRDefault="003A6FA2" w:rsidP="00D92A3D">
      <w:pPr>
        <w:ind w:left="360" w:hanging="360"/>
        <w:jc w:val="both"/>
        <w:rPr>
          <w:b/>
          <w:bCs/>
        </w:rPr>
      </w:pPr>
      <w:r>
        <w:rPr>
          <w:b/>
          <w:bCs/>
        </w:rPr>
        <w:t>4</w:t>
      </w:r>
      <w:r w:rsidRPr="00D92A3D">
        <w:rPr>
          <w:b/>
          <w:bCs/>
        </w:rPr>
        <w:t xml:space="preserve">. </w:t>
      </w:r>
      <w:r w:rsidRPr="00D92A3D">
        <w:rPr>
          <w:b/>
          <w:bCs/>
        </w:rPr>
        <w:tab/>
        <w:t>Závěrečná zpráva z hodnocení dopadů regulace (RIA)</w:t>
      </w:r>
    </w:p>
    <w:p w:rsidR="00641F67" w:rsidRDefault="00A831A7" w:rsidP="0042700F">
      <w:pPr>
        <w:spacing w:before="240"/>
        <w:jc w:val="both"/>
        <w:rPr>
          <w:rFonts w:eastAsia="MS Mincho"/>
          <w:bCs/>
        </w:rPr>
      </w:pPr>
      <w:r>
        <w:rPr>
          <w:rFonts w:eastAsia="MS Mincho"/>
          <w:bCs/>
        </w:rPr>
        <w:t>Na základě rozhodnutí Legislativní Rady Vlády a v</w:t>
      </w:r>
      <w:r w:rsidR="00641F67">
        <w:rPr>
          <w:rFonts w:eastAsia="MS Mincho"/>
          <w:bCs/>
        </w:rPr>
        <w:t xml:space="preserve"> souladu s Plánem přípravy vyhlášek ústředními orgány státní správy na rok 2017 </w:t>
      </w:r>
      <w:r w:rsidR="00E647AC">
        <w:rPr>
          <w:rFonts w:eastAsia="MS Mincho"/>
          <w:bCs/>
        </w:rPr>
        <w:t>se</w:t>
      </w:r>
      <w:r w:rsidR="00641F67">
        <w:rPr>
          <w:rFonts w:eastAsia="MS Mincho"/>
          <w:bCs/>
        </w:rPr>
        <w:t xml:space="preserve"> k návrhu novely vyhlášky RIA </w:t>
      </w:r>
      <w:r w:rsidR="00E647AC">
        <w:rPr>
          <w:rFonts w:eastAsia="MS Mincho"/>
          <w:bCs/>
        </w:rPr>
        <w:t>nevypracovává</w:t>
      </w:r>
      <w:r w:rsidR="00641F67">
        <w:rPr>
          <w:rFonts w:eastAsia="MS Mincho"/>
          <w:bCs/>
        </w:rPr>
        <w:t xml:space="preserve">. </w:t>
      </w:r>
    </w:p>
    <w:p w:rsidR="00641F67" w:rsidRPr="00D1370F" w:rsidRDefault="00641F67" w:rsidP="0042700F">
      <w:pPr>
        <w:spacing w:before="240"/>
        <w:jc w:val="both"/>
        <w:rPr>
          <w:lang w:val="en-US"/>
        </w:rPr>
      </w:pPr>
    </w:p>
    <w:p w:rsidR="003A6FA2" w:rsidRPr="00456DD1" w:rsidRDefault="003A6FA2" w:rsidP="00D92A3D">
      <w:pPr>
        <w:spacing w:before="240"/>
        <w:jc w:val="center"/>
        <w:rPr>
          <w:b/>
        </w:rPr>
      </w:pPr>
      <w:r w:rsidRPr="00256BF7">
        <w:rPr>
          <w:strike/>
        </w:rPr>
        <w:br w:type="page"/>
      </w:r>
      <w:r w:rsidRPr="00456DD1">
        <w:rPr>
          <w:b/>
        </w:rPr>
        <w:lastRenderedPageBreak/>
        <w:t>ZVLÁŠTNÍ ČÁST</w:t>
      </w:r>
    </w:p>
    <w:p w:rsidR="003A6FA2" w:rsidRDefault="003A6FA2" w:rsidP="003B03D6">
      <w:pPr>
        <w:jc w:val="center"/>
        <w:rPr>
          <w:b/>
        </w:rPr>
      </w:pPr>
    </w:p>
    <w:p w:rsidR="003A6FA2" w:rsidRDefault="003A6FA2" w:rsidP="003B03D6">
      <w:pPr>
        <w:jc w:val="center"/>
        <w:rPr>
          <w:b/>
        </w:rPr>
      </w:pPr>
      <w:r>
        <w:rPr>
          <w:b/>
        </w:rPr>
        <w:t>K Čl. I</w:t>
      </w:r>
    </w:p>
    <w:p w:rsidR="008D2EA0" w:rsidRDefault="008D2EA0" w:rsidP="003B03D6">
      <w:pPr>
        <w:jc w:val="center"/>
        <w:rPr>
          <w:b/>
        </w:rPr>
      </w:pPr>
    </w:p>
    <w:p w:rsidR="00E647AC" w:rsidRDefault="00E647AC" w:rsidP="0095000A">
      <w:pPr>
        <w:jc w:val="both"/>
        <w:rPr>
          <w:b/>
        </w:rPr>
      </w:pPr>
      <w:r>
        <w:rPr>
          <w:b/>
        </w:rPr>
        <w:t>K bodu 1</w:t>
      </w:r>
      <w:r>
        <w:rPr>
          <w:b/>
        </w:rPr>
        <w:tab/>
        <w:t>(§ 2 odst. 1 písm. g))</w:t>
      </w:r>
    </w:p>
    <w:p w:rsidR="00E647AC" w:rsidRDefault="00E647AC" w:rsidP="0095000A">
      <w:pPr>
        <w:jc w:val="both"/>
        <w:rPr>
          <w:b/>
        </w:rPr>
      </w:pPr>
    </w:p>
    <w:p w:rsidR="00E647AC" w:rsidRPr="00E647AC" w:rsidRDefault="00E647AC" w:rsidP="0095000A">
      <w:pPr>
        <w:jc w:val="both"/>
      </w:pPr>
      <w:r w:rsidRPr="00E647AC">
        <w:t>N</w:t>
      </w:r>
      <w:r w:rsidR="00277FD4">
        <w:t>avrhované vyjmutí důchodových fondů z působnosti vyhlášky</w:t>
      </w:r>
      <w:r w:rsidRPr="00E647AC">
        <w:t xml:space="preserve"> </w:t>
      </w:r>
      <w:r>
        <w:t>souvi</w:t>
      </w:r>
      <w:r w:rsidR="00277FD4">
        <w:t xml:space="preserve">sí s jejich zrušením podle zákona č. 376/2015 Sb., o ukončení důchodového spoření, který v § 29 s účinností od 1. 1. 2018 zrušuje zákon č. 426/2011 Sb., o důchodovém spoření.  </w:t>
      </w:r>
    </w:p>
    <w:p w:rsidR="00E647AC" w:rsidRDefault="00E647AC" w:rsidP="0095000A">
      <w:pPr>
        <w:jc w:val="both"/>
        <w:rPr>
          <w:b/>
        </w:rPr>
      </w:pPr>
    </w:p>
    <w:p w:rsidR="003A6FA2" w:rsidRDefault="004344BA" w:rsidP="0095000A">
      <w:pPr>
        <w:jc w:val="both"/>
        <w:rPr>
          <w:b/>
        </w:rPr>
      </w:pPr>
      <w:r>
        <w:rPr>
          <w:b/>
        </w:rPr>
        <w:t>K</w:t>
      </w:r>
      <w:r w:rsidR="003C0CD0">
        <w:rPr>
          <w:b/>
        </w:rPr>
        <w:t> </w:t>
      </w:r>
      <w:r>
        <w:rPr>
          <w:b/>
        </w:rPr>
        <w:t>bod</w:t>
      </w:r>
      <w:r w:rsidR="00F82F8D">
        <w:rPr>
          <w:b/>
        </w:rPr>
        <w:t>ům</w:t>
      </w:r>
      <w:r w:rsidR="003C0CD0">
        <w:rPr>
          <w:b/>
        </w:rPr>
        <w:t xml:space="preserve"> </w:t>
      </w:r>
      <w:r w:rsidR="00E647AC">
        <w:rPr>
          <w:b/>
        </w:rPr>
        <w:t>2 a 3</w:t>
      </w:r>
      <w:r w:rsidR="003C0CD0">
        <w:rPr>
          <w:b/>
        </w:rPr>
        <w:t xml:space="preserve"> </w:t>
      </w:r>
      <w:r w:rsidR="003C0CD0">
        <w:rPr>
          <w:b/>
        </w:rPr>
        <w:tab/>
      </w:r>
      <w:r>
        <w:rPr>
          <w:b/>
        </w:rPr>
        <w:t>(§ 2 odst. 1 písm. h) až j))</w:t>
      </w:r>
    </w:p>
    <w:p w:rsidR="004344BA" w:rsidRDefault="004344BA" w:rsidP="0095000A">
      <w:pPr>
        <w:jc w:val="both"/>
        <w:rPr>
          <w:b/>
        </w:rPr>
      </w:pPr>
    </w:p>
    <w:p w:rsidR="004344BA" w:rsidRDefault="004344BA" w:rsidP="0095000A">
      <w:pPr>
        <w:jc w:val="both"/>
      </w:pPr>
      <w:r w:rsidRPr="004344BA">
        <w:t>Navrhuje se rozšířit oblast působnosti vyhlášky o nebankovní poskytovatele spotřebitelských úvěrů v reakci na zákon č. 257/2016 Sb., o spotřebitelských úvěrech</w:t>
      </w:r>
      <w:r w:rsidR="00743F38">
        <w:t>.</w:t>
      </w:r>
      <w:r w:rsidRPr="004344BA">
        <w:t xml:space="preserve"> </w:t>
      </w:r>
      <w:r w:rsidRPr="00832A37">
        <w:t>Zákon</w:t>
      </w:r>
      <w:r w:rsidRPr="004344BA">
        <w:t xml:space="preserve"> nově zavádí institut nebankovního poskytovatele spotřebitelského úvěru</w:t>
      </w:r>
      <w:r w:rsidR="00832A37">
        <w:t>.</w:t>
      </w:r>
      <w:r w:rsidRPr="004344BA">
        <w:t xml:space="preserve"> </w:t>
      </w:r>
      <w:r w:rsidR="00832A37">
        <w:t xml:space="preserve">Poskytovatel, </w:t>
      </w:r>
      <w:r w:rsidRPr="004344BA">
        <w:t>který je právnickou osobou, je oprávněn poskytovat</w:t>
      </w:r>
      <w:r w:rsidR="00832A37">
        <w:t>,</w:t>
      </w:r>
      <w:r w:rsidRPr="004344BA">
        <w:t xml:space="preserve"> </w:t>
      </w:r>
      <w:r w:rsidR="00832A37" w:rsidRPr="004344BA">
        <w:t>na základě oprávnění</w:t>
      </w:r>
      <w:r w:rsidR="00832A37">
        <w:t xml:space="preserve"> České národní banky,</w:t>
      </w:r>
      <w:r w:rsidR="00832A37" w:rsidRPr="004344BA">
        <w:t xml:space="preserve"> </w:t>
      </w:r>
      <w:r w:rsidRPr="004344BA">
        <w:t xml:space="preserve">spotřebitelský úvěr. Cílem navrhovaného doplnění je stanovit rovné podmínky pro vedení účetnictví pro </w:t>
      </w:r>
      <w:r w:rsidR="00B37144">
        <w:t xml:space="preserve">nebankovní </w:t>
      </w:r>
      <w:r w:rsidRPr="004344BA">
        <w:t xml:space="preserve">subjekty, které </w:t>
      </w:r>
      <w:r w:rsidR="00B37144">
        <w:t xml:space="preserve">jsou oprávněny </w:t>
      </w:r>
      <w:r w:rsidR="00B37144" w:rsidRPr="004344BA">
        <w:t>poskyt</w:t>
      </w:r>
      <w:r w:rsidR="00B37144">
        <w:t>ovat</w:t>
      </w:r>
      <w:r w:rsidR="00B37144" w:rsidRPr="004344BA">
        <w:t xml:space="preserve"> </w:t>
      </w:r>
      <w:r w:rsidRPr="004344BA">
        <w:t xml:space="preserve">spotřebitelské úvěry.  </w:t>
      </w:r>
    </w:p>
    <w:p w:rsidR="004344BA" w:rsidRDefault="004344BA" w:rsidP="0095000A">
      <w:pPr>
        <w:jc w:val="both"/>
      </w:pPr>
    </w:p>
    <w:p w:rsidR="004344BA" w:rsidRPr="004344BA" w:rsidRDefault="004344BA" w:rsidP="0095000A">
      <w:pPr>
        <w:jc w:val="both"/>
      </w:pPr>
      <w:r>
        <w:rPr>
          <w:b/>
        </w:rPr>
        <w:t>K</w:t>
      </w:r>
      <w:r w:rsidR="003C0CD0">
        <w:rPr>
          <w:b/>
        </w:rPr>
        <w:t> </w:t>
      </w:r>
      <w:r>
        <w:rPr>
          <w:b/>
        </w:rPr>
        <w:t>bodu</w:t>
      </w:r>
      <w:r w:rsidR="003C0CD0">
        <w:rPr>
          <w:b/>
        </w:rPr>
        <w:t xml:space="preserve"> </w:t>
      </w:r>
      <w:r w:rsidR="00683C9A">
        <w:rPr>
          <w:b/>
        </w:rPr>
        <w:t>4</w:t>
      </w:r>
      <w:r>
        <w:rPr>
          <w:b/>
        </w:rPr>
        <w:tab/>
        <w:t>(§ 2 odst. 2)</w:t>
      </w:r>
    </w:p>
    <w:p w:rsidR="003A6FA2" w:rsidRPr="005D5525" w:rsidRDefault="003A6FA2" w:rsidP="005D5525">
      <w:pPr>
        <w:jc w:val="both"/>
      </w:pPr>
      <w:r>
        <w:t xml:space="preserve"> </w:t>
      </w:r>
    </w:p>
    <w:p w:rsidR="003A6FA2" w:rsidRDefault="004344BA" w:rsidP="0095000A">
      <w:pPr>
        <w:jc w:val="both"/>
      </w:pPr>
      <w:r w:rsidRPr="004344BA">
        <w:t>Navrhuje se doplnit nebankovního poskytovatele spotřebitelského úvěru. Doplnění reaguje na možnost, kdy nebankovní poskytovatel spotřebitelského úvěru nemá formu srovnatelnou s finanční institucí.</w:t>
      </w:r>
    </w:p>
    <w:p w:rsidR="0013119A" w:rsidRDefault="0013119A" w:rsidP="0095000A">
      <w:pPr>
        <w:jc w:val="both"/>
      </w:pPr>
    </w:p>
    <w:p w:rsidR="0013119A" w:rsidRPr="004344BA" w:rsidRDefault="0013119A" w:rsidP="0013119A">
      <w:pPr>
        <w:jc w:val="both"/>
      </w:pPr>
      <w:r w:rsidRPr="0013119A">
        <w:rPr>
          <w:b/>
        </w:rPr>
        <w:t>K bodu 5</w:t>
      </w:r>
      <w:r>
        <w:rPr>
          <w:b/>
        </w:rPr>
        <w:tab/>
        <w:t>(§ 2 odst. 3)</w:t>
      </w:r>
    </w:p>
    <w:p w:rsidR="0013119A" w:rsidRDefault="0013119A" w:rsidP="0095000A">
      <w:pPr>
        <w:jc w:val="both"/>
      </w:pPr>
    </w:p>
    <w:p w:rsidR="0013119A" w:rsidRDefault="0013119A" w:rsidP="0095000A">
      <w:pPr>
        <w:jc w:val="both"/>
      </w:pPr>
      <w:r>
        <w:t>Navrhovaný text vyhlášky reflektuje možnost v budoucnu implementovat účetní pravidla</w:t>
      </w:r>
      <w:r w:rsidRPr="00832A37">
        <w:t xml:space="preserve"> </w:t>
      </w:r>
      <w:r>
        <w:t>Evropské centrální banky (Obecné zásady ECB ze dne 11. listopadu 2010 o právním rámci pro účetnictví a finanční vykazování v Evropském systému centrálních bank). Dlouhodobě je nutné počítat s tím, že Obecné zásady Evropské centrální banky budou i pro ČNB v zásadě povinná.</w:t>
      </w:r>
    </w:p>
    <w:p w:rsidR="004344BA" w:rsidRDefault="004344BA" w:rsidP="0095000A">
      <w:pPr>
        <w:jc w:val="both"/>
      </w:pPr>
    </w:p>
    <w:p w:rsidR="00D62473" w:rsidRDefault="00EF3576" w:rsidP="004344BA">
      <w:pPr>
        <w:jc w:val="both"/>
        <w:rPr>
          <w:b/>
        </w:rPr>
      </w:pPr>
      <w:r>
        <w:rPr>
          <w:b/>
        </w:rPr>
        <w:t>K bodům</w:t>
      </w:r>
      <w:r w:rsidR="00D62473">
        <w:rPr>
          <w:b/>
        </w:rPr>
        <w:t xml:space="preserve"> </w:t>
      </w:r>
      <w:r w:rsidR="0013119A">
        <w:rPr>
          <w:b/>
        </w:rPr>
        <w:t>6</w:t>
      </w:r>
      <w:r>
        <w:rPr>
          <w:b/>
        </w:rPr>
        <w:t xml:space="preserve"> a </w:t>
      </w:r>
      <w:r w:rsidR="0013119A">
        <w:rPr>
          <w:b/>
        </w:rPr>
        <w:t>7</w:t>
      </w:r>
      <w:r w:rsidR="00D62473">
        <w:rPr>
          <w:b/>
        </w:rPr>
        <w:tab/>
        <w:t>(§</w:t>
      </w:r>
      <w:r w:rsidR="00081719">
        <w:rPr>
          <w:b/>
        </w:rPr>
        <w:t xml:space="preserve"> </w:t>
      </w:r>
      <w:r w:rsidR="00D62473">
        <w:rPr>
          <w:b/>
        </w:rPr>
        <w:t>3 odst. 1 a 6)</w:t>
      </w:r>
    </w:p>
    <w:p w:rsidR="00D62473" w:rsidRDefault="00D62473" w:rsidP="004344BA">
      <w:pPr>
        <w:jc w:val="both"/>
        <w:rPr>
          <w:b/>
        </w:rPr>
      </w:pPr>
    </w:p>
    <w:p w:rsidR="007928A2" w:rsidRDefault="00743F38" w:rsidP="004344BA">
      <w:pPr>
        <w:jc w:val="both"/>
      </w:pPr>
      <w:r>
        <w:t>Navrhuje se</w:t>
      </w:r>
      <w:r w:rsidR="00A875A6">
        <w:t>,</w:t>
      </w:r>
      <w:r>
        <w:t xml:space="preserve"> z důvodu zvýšení právní jistoty dotčených účetních jednotek doplnit</w:t>
      </w:r>
      <w:r w:rsidR="00A875A6">
        <w:t>,</w:t>
      </w:r>
      <w:r>
        <w:t xml:space="preserve"> § 3 odst. 1 o přehled o peněžních tocích. Povinnost</w:t>
      </w:r>
      <w:r w:rsidR="007928A2">
        <w:t xml:space="preserve"> pro některé účetní jednotky, které spadají do působnosti vyhlášky č. 501/2002 Sb.,</w:t>
      </w:r>
      <w:r>
        <w:t xml:space="preserve"> sestavit přehled o peněžních tocích je již stanovena v</w:t>
      </w:r>
      <w:r w:rsidR="007928A2">
        <w:t xml:space="preserve"> §</w:t>
      </w:r>
      <w:r w:rsidR="009258C9">
        <w:t> </w:t>
      </w:r>
      <w:r w:rsidR="007928A2">
        <w:t>18 odst. 2</w:t>
      </w:r>
      <w:r>
        <w:t> zákon</w:t>
      </w:r>
      <w:r w:rsidR="007928A2">
        <w:t>a</w:t>
      </w:r>
      <w:r>
        <w:t xml:space="preserve"> č. 563/1991 Sb., </w:t>
      </w:r>
      <w:r w:rsidR="007928A2">
        <w:t xml:space="preserve">o účetnictví. </w:t>
      </w:r>
      <w:r>
        <w:t xml:space="preserve"> </w:t>
      </w:r>
    </w:p>
    <w:p w:rsidR="007928A2" w:rsidRDefault="007928A2" w:rsidP="004344BA">
      <w:pPr>
        <w:jc w:val="both"/>
      </w:pPr>
    </w:p>
    <w:p w:rsidR="00D62473" w:rsidRPr="00D62473" w:rsidRDefault="007928A2" w:rsidP="004344BA">
      <w:pPr>
        <w:jc w:val="both"/>
      </w:pPr>
      <w:r>
        <w:t>Nově navrhovaný odstavec 6 stanoví způsob jakým je přehled o peněžních tocích sestaven. Pro sestavení přehledu o peněžních tocích se přiměřeně použijí ustanovení vyhlášky č. 500/2002 Sb., kterou se provádějí některá ustanovení zákona č. 563/1991 Sb., o účetnictví, ve znění pozdějších předpisů, pro účetní jednotky, které jsou podnikateli účtujícími v soustavě podvojného účetnictví, ve znění pozdějších předpisů.</w:t>
      </w:r>
      <w:r w:rsidR="00743F38">
        <w:t xml:space="preserve"> </w:t>
      </w:r>
    </w:p>
    <w:p w:rsidR="00832A37" w:rsidRDefault="00832A37" w:rsidP="004344BA">
      <w:pPr>
        <w:jc w:val="both"/>
      </w:pPr>
    </w:p>
    <w:p w:rsidR="00E64869" w:rsidRDefault="00EF3576" w:rsidP="004344BA">
      <w:pPr>
        <w:jc w:val="both"/>
        <w:rPr>
          <w:b/>
        </w:rPr>
      </w:pPr>
      <w:r>
        <w:rPr>
          <w:b/>
        </w:rPr>
        <w:t xml:space="preserve">K bodům </w:t>
      </w:r>
      <w:r w:rsidR="0013119A">
        <w:rPr>
          <w:b/>
        </w:rPr>
        <w:t>8</w:t>
      </w:r>
      <w:r>
        <w:rPr>
          <w:b/>
        </w:rPr>
        <w:t>, 4</w:t>
      </w:r>
      <w:r w:rsidR="0013119A">
        <w:rPr>
          <w:b/>
        </w:rPr>
        <w:t>9</w:t>
      </w:r>
      <w:r>
        <w:rPr>
          <w:b/>
        </w:rPr>
        <w:t xml:space="preserve">, </w:t>
      </w:r>
      <w:r w:rsidR="0013119A">
        <w:rPr>
          <w:b/>
        </w:rPr>
        <w:t>50</w:t>
      </w:r>
      <w:r>
        <w:rPr>
          <w:b/>
        </w:rPr>
        <w:t>, 5</w:t>
      </w:r>
      <w:r w:rsidR="0013119A">
        <w:rPr>
          <w:b/>
        </w:rPr>
        <w:t>2</w:t>
      </w:r>
      <w:r>
        <w:rPr>
          <w:b/>
        </w:rPr>
        <w:t xml:space="preserve"> a 5</w:t>
      </w:r>
      <w:r w:rsidR="0013119A">
        <w:rPr>
          <w:b/>
        </w:rPr>
        <w:t>9</w:t>
      </w:r>
      <w:r>
        <w:rPr>
          <w:b/>
        </w:rPr>
        <w:tab/>
      </w:r>
      <w:r w:rsidR="00E64869">
        <w:rPr>
          <w:b/>
        </w:rPr>
        <w:t>(§ 4 odst. 7 a 8,</w:t>
      </w:r>
      <w:r>
        <w:rPr>
          <w:b/>
        </w:rPr>
        <w:t xml:space="preserve"> § 67 a §</w:t>
      </w:r>
      <w:r w:rsidR="00E64869">
        <w:rPr>
          <w:b/>
        </w:rPr>
        <w:t xml:space="preserve"> 68, § 70, § 74 odst. 1 a § 80)</w:t>
      </w:r>
    </w:p>
    <w:p w:rsidR="00E64869" w:rsidRDefault="00E64869" w:rsidP="004344BA">
      <w:pPr>
        <w:jc w:val="both"/>
        <w:rPr>
          <w:b/>
        </w:rPr>
      </w:pPr>
    </w:p>
    <w:p w:rsidR="00E64869" w:rsidRDefault="00E64869" w:rsidP="00E64869">
      <w:pPr>
        <w:jc w:val="both"/>
      </w:pPr>
      <w:r w:rsidRPr="000D2EBB">
        <w:lastRenderedPageBreak/>
        <w:t xml:space="preserve">Využitím diskrece v čl. 8 odst. 6 směrnice 2013/34/EU dojde ke zjednodušení textu vyhlášky a </w:t>
      </w:r>
      <w:r>
        <w:t xml:space="preserve">zároveň i ke zrušení některých </w:t>
      </w:r>
      <w:r w:rsidRPr="000D2EBB">
        <w:t>českých účetních standardů</w:t>
      </w:r>
      <w:r>
        <w:t xml:space="preserve"> pro finanční instituce, pokud jde o finanční nástroje</w:t>
      </w:r>
      <w:r w:rsidRPr="000D2EBB">
        <w:t xml:space="preserve">, neboť </w:t>
      </w:r>
      <w:r>
        <w:t xml:space="preserve">problematika </w:t>
      </w:r>
      <w:r w:rsidRPr="000D2EBB">
        <w:t>finanční</w:t>
      </w:r>
      <w:r>
        <w:t>ch</w:t>
      </w:r>
      <w:r w:rsidRPr="000D2EBB">
        <w:t xml:space="preserve"> nástroj</w:t>
      </w:r>
      <w:r>
        <w:t>ů se navrhuje</w:t>
      </w:r>
      <w:r w:rsidRPr="000D2EBB">
        <w:t xml:space="preserve"> řeš</w:t>
      </w:r>
      <w:r>
        <w:t>it</w:t>
      </w:r>
      <w:r w:rsidRPr="000D2EBB">
        <w:t xml:space="preserve"> odkazem na přímo účinný předpis EU upravující mezinárodní účetní standardy (IFRS).</w:t>
      </w:r>
      <w:r>
        <w:t xml:space="preserve"> </w:t>
      </w:r>
      <w:r w:rsidRPr="000D2EBB">
        <w:t xml:space="preserve">Odkaz na IFRS </w:t>
      </w:r>
      <w:r w:rsidR="00757E3D">
        <w:t>pro účely</w:t>
      </w:r>
      <w:r w:rsidRPr="000D2EBB">
        <w:t xml:space="preserve"> </w:t>
      </w:r>
      <w:r w:rsidR="00757E3D">
        <w:t>vykazování finančních nástrojů,</w:t>
      </w:r>
      <w:r w:rsidRPr="000D2EBB">
        <w:t xml:space="preserve"> </w:t>
      </w:r>
      <w:r w:rsidR="00757E3D">
        <w:t>jejich</w:t>
      </w:r>
      <w:r w:rsidRPr="000D2EBB">
        <w:t xml:space="preserve"> oceňování a při </w:t>
      </w:r>
      <w:r w:rsidR="00757E3D">
        <w:t>uvádění</w:t>
      </w:r>
      <w:r w:rsidRPr="000D2EBB">
        <w:t xml:space="preserve"> informací o nich</w:t>
      </w:r>
      <w:r w:rsidR="00757E3D">
        <w:t xml:space="preserve"> v příloze v účetní závěrce</w:t>
      </w:r>
      <w:r w:rsidRPr="000D2EBB">
        <w:t xml:space="preserve"> zajistí, že účetním jednotkám budou k dispozici i principy a postupy pro zachycení složitějších transakcí.</w:t>
      </w:r>
      <w:r w:rsidRPr="006702A4">
        <w:t xml:space="preserve"> </w:t>
      </w:r>
      <w:r>
        <w:t>Problematika finančních nástrojů je v rámci IFRS, kromě standardu IFRS 9, dále řešena zejména ve standardech IFRS 1, IFRS 7, IAS 32 a IAS 39. Neznamená to ovšem, že by problematika finančních nástrojů, vzhledem k celkové provázanosti IFRS, zasahovala pouze do působnosti výše zmíněných standardů.</w:t>
      </w:r>
    </w:p>
    <w:p w:rsidR="00E64869" w:rsidRPr="000D2EBB" w:rsidRDefault="00E64869" w:rsidP="00E64869">
      <w:pPr>
        <w:jc w:val="both"/>
      </w:pPr>
    </w:p>
    <w:p w:rsidR="00E64869" w:rsidRPr="00552FAF" w:rsidRDefault="00E64869" w:rsidP="00E64869">
      <w:pPr>
        <w:jc w:val="both"/>
        <w:rPr>
          <w:b/>
          <w:u w:val="single"/>
        </w:rPr>
      </w:pPr>
      <w:r>
        <w:rPr>
          <w:b/>
          <w:u w:val="single"/>
        </w:rPr>
        <w:t>Kategorizace</w:t>
      </w:r>
      <w:r w:rsidRPr="00552FAF">
        <w:rPr>
          <w:b/>
          <w:u w:val="single"/>
        </w:rPr>
        <w:t xml:space="preserve"> finančních aktiv</w:t>
      </w:r>
    </w:p>
    <w:p w:rsidR="00E64869" w:rsidRDefault="00E64869" w:rsidP="00E64869">
      <w:pPr>
        <w:jc w:val="both"/>
      </w:pPr>
    </w:p>
    <w:p w:rsidR="00E64869" w:rsidRDefault="00E64869" w:rsidP="00E64869">
      <w:pPr>
        <w:jc w:val="both"/>
      </w:pPr>
      <w:r>
        <w:t>IFRS 9 oproti IAS 39 rozlišuje pouze tři kategorie finančních aktiv podle oceňování:</w:t>
      </w:r>
    </w:p>
    <w:p w:rsidR="00E64869" w:rsidRDefault="00E64869" w:rsidP="00E64869">
      <w:pPr>
        <w:pStyle w:val="Odstavecseseznamem"/>
        <w:numPr>
          <w:ilvl w:val="0"/>
          <w:numId w:val="34"/>
        </w:numPr>
        <w:spacing w:after="200"/>
        <w:jc w:val="both"/>
      </w:pPr>
      <w:r>
        <w:t xml:space="preserve">reálnou hodnotou do výsledku hospodaření, </w:t>
      </w:r>
    </w:p>
    <w:p w:rsidR="00E64869" w:rsidRDefault="00E64869" w:rsidP="00E64869">
      <w:pPr>
        <w:pStyle w:val="Odstavecseseznamem"/>
        <w:numPr>
          <w:ilvl w:val="0"/>
          <w:numId w:val="34"/>
        </w:numPr>
        <w:spacing w:after="200"/>
        <w:jc w:val="both"/>
      </w:pPr>
      <w:r>
        <w:t>reálnou hodnotou proti účtům vlastního kapitálu,</w:t>
      </w:r>
    </w:p>
    <w:p w:rsidR="00E64869" w:rsidRDefault="00E64869" w:rsidP="00E64869">
      <w:pPr>
        <w:pStyle w:val="Odstavecseseznamem"/>
        <w:numPr>
          <w:ilvl w:val="0"/>
          <w:numId w:val="34"/>
        </w:numPr>
        <w:spacing w:after="200"/>
        <w:jc w:val="both"/>
      </w:pPr>
      <w:r>
        <w:t xml:space="preserve">naběhlou hodnotou (částka, jíž jsou finanční aktiva nebo finanční závazky oceněny při prvotním zaúčtování, snížená o splátky jistiny a zvýšená nebo snížená – s použitím metody efektivní úrokové míry – o kumulativní amortizaci prémie či diskontu, tj. rozdílu mezi počáteční hodnotou a hodnotou při splatnosti, a u finančních aktiv upravená o případnou opravnou položku), </w:t>
      </w:r>
    </w:p>
    <w:p w:rsidR="00E64869" w:rsidRDefault="00E64869" w:rsidP="00E64869">
      <w:pPr>
        <w:spacing w:after="200"/>
        <w:jc w:val="both"/>
      </w:pPr>
      <w:r>
        <w:t>s tím, že všechny kapitálové nástroje se oceňují reálnou hodnotou do výsledku hospodaření s výjimkou těch, u kterých účetní jednotka nezvratně zvolí oceňování reálnou hodnotou proti účtům vlastního kapitálu. O</w:t>
      </w:r>
      <w:r w:rsidRPr="00E76B09">
        <w:rPr>
          <w:bCs/>
        </w:rPr>
        <w:t>ceňovací rozdíly těchto cenných papírů oceňovaných reálnou hodnotou proti účtům vlastního kapitálu nebudou, v případě prodeje takového cenného papíru, účtovány do výnosů/nákladů, ale zůstanou na účtech nerozděleného zisku/neuhrazené ztráty.</w:t>
      </w:r>
    </w:p>
    <w:p w:rsidR="00E64869" w:rsidRDefault="00E64869" w:rsidP="00E64869">
      <w:pPr>
        <w:jc w:val="both"/>
      </w:pPr>
    </w:p>
    <w:p w:rsidR="00E64869" w:rsidRDefault="00E64869" w:rsidP="00E64869">
      <w:pPr>
        <w:jc w:val="both"/>
      </w:pPr>
      <w:r w:rsidRPr="000D2EBB">
        <w:t>Vymezení nákladů souvisejících s pořízením finančního aktiva je řešeno IFRS 9 v bodě 5.1.1.</w:t>
      </w:r>
    </w:p>
    <w:p w:rsidR="00E64869" w:rsidRDefault="00E64869" w:rsidP="00E64869">
      <w:pPr>
        <w:jc w:val="both"/>
      </w:pPr>
    </w:p>
    <w:p w:rsidR="00E64869" w:rsidRDefault="00E64869" w:rsidP="00E64869">
      <w:pPr>
        <w:jc w:val="both"/>
      </w:pPr>
      <w:r>
        <w:t>Pokud jde o přechodná ustanovení týkající se finančních nástrojů v souvislosti s</w:t>
      </w:r>
      <w:r w:rsidRPr="009273BB">
        <w:t xml:space="preserve"> </w:t>
      </w:r>
      <w:r>
        <w:t>IFRS</w:t>
      </w:r>
      <w:r w:rsidRPr="009273BB">
        <w:t xml:space="preserve"> 9</w:t>
      </w:r>
      <w:r>
        <w:t xml:space="preserve">, není zapotřebí tato přechodná ustanovení uvádět ve vyhlášce, neboť jsou již obsažena v IFRS 9, na který se vyhláška prostřednictvím § </w:t>
      </w:r>
      <w:r w:rsidR="00757E3D">
        <w:t>4 odst. 7 a 8</w:t>
      </w:r>
      <w:r>
        <w:t xml:space="preserve"> přímo odvolává</w:t>
      </w:r>
      <w:r w:rsidRPr="009273BB">
        <w:t xml:space="preserve">.  </w:t>
      </w:r>
    </w:p>
    <w:p w:rsidR="00E64869" w:rsidRDefault="00E64869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> </w:t>
      </w:r>
      <w:r>
        <w:rPr>
          <w:b/>
        </w:rPr>
        <w:t>bodu</w:t>
      </w:r>
      <w:r w:rsidR="00F82F8D">
        <w:rPr>
          <w:b/>
        </w:rPr>
        <w:t xml:space="preserve"> </w:t>
      </w:r>
      <w:r w:rsidR="0013119A">
        <w:rPr>
          <w:b/>
        </w:rPr>
        <w:t>9</w:t>
      </w:r>
      <w:r>
        <w:rPr>
          <w:b/>
        </w:rPr>
        <w:tab/>
        <w:t>(§ 6 odst. 1)</w:t>
      </w:r>
    </w:p>
    <w:p w:rsidR="004344BA" w:rsidRDefault="004344BA" w:rsidP="004344BA">
      <w:pPr>
        <w:jc w:val="both"/>
        <w:rPr>
          <w:b/>
        </w:rPr>
      </w:pPr>
    </w:p>
    <w:p w:rsidR="004344BA" w:rsidRPr="004344BA" w:rsidRDefault="004344BA" w:rsidP="004344BA">
      <w:pPr>
        <w:jc w:val="both"/>
      </w:pPr>
      <w:r w:rsidRPr="004344BA">
        <w:t>Navrhuje se doplnit obsahové vymezení položky o opravné položky k cenným papírům. Navržené doplnění zvyšuje právní jistotu dotčených účetních jednotek.</w:t>
      </w:r>
    </w:p>
    <w:p w:rsidR="004344BA" w:rsidRPr="004344BA" w:rsidRDefault="004344BA" w:rsidP="004344BA">
      <w:pPr>
        <w:jc w:val="both"/>
      </w:pPr>
    </w:p>
    <w:p w:rsidR="004344BA" w:rsidRPr="004344BA" w:rsidRDefault="004344BA" w:rsidP="004344BA">
      <w:pPr>
        <w:jc w:val="both"/>
      </w:pPr>
      <w:r w:rsidRPr="004344BA">
        <w:t>V návaznosti na § 2 písm. b) vyhlášky č. 253/2013 Sb., kterou se stanoví podmínky tvorby povinných minimálních rezerv, se navrhuje rozšířit okruh účetních jednotek, které vykazují položku "2. Státní bezkuponové dluhopisy a ostatní cenné papíry přijímané centrální bankou k refinancování".</w:t>
      </w:r>
    </w:p>
    <w:p w:rsidR="004344BA" w:rsidRDefault="004344BA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> </w:t>
      </w:r>
      <w:r>
        <w:rPr>
          <w:b/>
        </w:rPr>
        <w:t>bod</w:t>
      </w:r>
      <w:r w:rsidR="00F82F8D">
        <w:rPr>
          <w:b/>
        </w:rPr>
        <w:t xml:space="preserve">ům </w:t>
      </w:r>
      <w:r w:rsidR="0013119A">
        <w:rPr>
          <w:b/>
        </w:rPr>
        <w:t>10</w:t>
      </w:r>
      <w:r w:rsidR="00F82F8D">
        <w:rPr>
          <w:b/>
        </w:rPr>
        <w:t xml:space="preserve"> a </w:t>
      </w:r>
      <w:r w:rsidR="003B5CC5">
        <w:rPr>
          <w:b/>
        </w:rPr>
        <w:t>2</w:t>
      </w:r>
      <w:r w:rsidR="0013119A">
        <w:rPr>
          <w:b/>
        </w:rPr>
        <w:t>2</w:t>
      </w:r>
      <w:r>
        <w:rPr>
          <w:b/>
        </w:rPr>
        <w:tab/>
        <w:t>(§ 6 odst. 2</w:t>
      </w:r>
      <w:r w:rsidR="009C2295">
        <w:rPr>
          <w:b/>
        </w:rPr>
        <w:t xml:space="preserve"> a § 17 odst. 3</w:t>
      </w:r>
      <w:r>
        <w:rPr>
          <w:b/>
        </w:rPr>
        <w:t>)</w:t>
      </w:r>
    </w:p>
    <w:p w:rsidR="004344BA" w:rsidRDefault="004344BA" w:rsidP="004344BA">
      <w:pPr>
        <w:jc w:val="both"/>
        <w:rPr>
          <w:b/>
        </w:rPr>
      </w:pPr>
    </w:p>
    <w:p w:rsidR="00190C7A" w:rsidRDefault="004344BA" w:rsidP="004344BA">
      <w:pPr>
        <w:jc w:val="both"/>
      </w:pPr>
      <w:r w:rsidRPr="004344BA">
        <w:t>Navrhuje se přesunutí textu</w:t>
      </w:r>
      <w:r w:rsidR="004D3461">
        <w:t xml:space="preserve"> § 6 odst. 2</w:t>
      </w:r>
      <w:r w:rsidRPr="004344BA">
        <w:t xml:space="preserve"> do § 17</w:t>
      </w:r>
      <w:r w:rsidR="004D3461">
        <w:t xml:space="preserve"> odst. 3</w:t>
      </w:r>
      <w:r w:rsidRPr="004344BA">
        <w:t xml:space="preserve">. Problematika vložených derivátů je řešena v rámci mezinárodních účetních standardů, na které odkazuje nově </w:t>
      </w:r>
      <w:r w:rsidRPr="00757E3D">
        <w:t xml:space="preserve">vložený § </w:t>
      </w:r>
      <w:r w:rsidR="00E64869">
        <w:t>4 odst. 7 a 8</w:t>
      </w:r>
      <w:r w:rsidRPr="004344BA">
        <w:t>.  Podle IFRS 9 se vložený derivát odděluje pouze u</w:t>
      </w:r>
      <w:r w:rsidR="00B52C70">
        <w:t xml:space="preserve"> aktiv nespadajících do působnosti IFRS 9 a</w:t>
      </w:r>
      <w:r w:rsidRPr="004344BA">
        <w:t xml:space="preserve"> závazků (viz bod 4.3.2 standardu IFRS 9).</w:t>
      </w:r>
      <w:r w:rsidR="00B52C70">
        <w:t xml:space="preserve"> </w:t>
      </w:r>
    </w:p>
    <w:p w:rsidR="003B5CC5" w:rsidRDefault="003B5CC5" w:rsidP="004344BA">
      <w:pPr>
        <w:jc w:val="both"/>
      </w:pPr>
    </w:p>
    <w:p w:rsidR="003B5CC5" w:rsidRDefault="00412950" w:rsidP="004344BA">
      <w:pPr>
        <w:jc w:val="both"/>
      </w:pPr>
      <w:r>
        <w:t>Příkladem, kdy ekonomické znaky vloženého derivátu a rizika s ním spojená nesouvisejí úzce s ekonomickými znaky hostitelské smlouvy ani s riziky s ní spojenými, může být například prodejní opce vložená do nástroje, která umožňuje držiteli požadovat po emitentovi, aby nástroj koupil zpět za peněžní částku nebo jiná a</w:t>
      </w:r>
      <w:r w:rsidR="00C75811">
        <w:t>k</w:t>
      </w:r>
      <w:r>
        <w:t>tiva, a jejíž hodnota se mění v závislosti na změně ceny akcií nebo komodity nebo v závislosti na kapitálovém nebo komoditním indexu.</w:t>
      </w:r>
      <w:r w:rsidR="00C75811">
        <w:t xml:space="preserve"> </w:t>
      </w:r>
    </w:p>
    <w:p w:rsidR="003B5CC5" w:rsidRDefault="003B5CC5" w:rsidP="004344BA">
      <w:pPr>
        <w:jc w:val="both"/>
      </w:pPr>
    </w:p>
    <w:p w:rsidR="009C70A8" w:rsidRDefault="00C75811" w:rsidP="004344BA">
      <w:pPr>
        <w:jc w:val="both"/>
      </w:pPr>
      <w:r>
        <w:t xml:space="preserve">Další obdobné příklady jsou součástí IFRS 9. </w:t>
      </w:r>
      <w:r w:rsidR="00412950">
        <w:t xml:space="preserve">  </w:t>
      </w:r>
    </w:p>
    <w:p w:rsidR="004344BA" w:rsidRDefault="004344BA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> </w:t>
      </w:r>
      <w:r w:rsidR="00DE73DD">
        <w:rPr>
          <w:b/>
        </w:rPr>
        <w:t xml:space="preserve">bodům </w:t>
      </w:r>
      <w:r w:rsidR="0052776D">
        <w:rPr>
          <w:b/>
        </w:rPr>
        <w:t>1</w:t>
      </w:r>
      <w:r w:rsidR="0013119A">
        <w:rPr>
          <w:b/>
        </w:rPr>
        <w:t>1</w:t>
      </w:r>
      <w:r w:rsidR="00DE73DD">
        <w:rPr>
          <w:b/>
        </w:rPr>
        <w:t xml:space="preserve"> a </w:t>
      </w:r>
      <w:r w:rsidR="0052776D">
        <w:rPr>
          <w:b/>
        </w:rPr>
        <w:t>1</w:t>
      </w:r>
      <w:r w:rsidR="0013119A">
        <w:rPr>
          <w:b/>
        </w:rPr>
        <w:t>3</w:t>
      </w:r>
      <w:r w:rsidR="00DE73DD">
        <w:rPr>
          <w:b/>
        </w:rPr>
        <w:tab/>
      </w:r>
      <w:r>
        <w:rPr>
          <w:b/>
        </w:rPr>
        <w:t>(§ 7 odst. 1</w:t>
      </w:r>
      <w:r w:rsidR="00DE73DD">
        <w:rPr>
          <w:b/>
        </w:rPr>
        <w:t xml:space="preserve"> a § 8 odst. 1</w:t>
      </w:r>
      <w:r>
        <w:rPr>
          <w:b/>
        </w:rPr>
        <w:t>)</w:t>
      </w:r>
    </w:p>
    <w:p w:rsidR="004344BA" w:rsidRDefault="004344BA" w:rsidP="004344BA">
      <w:pPr>
        <w:jc w:val="both"/>
        <w:rPr>
          <w:b/>
        </w:rPr>
      </w:pPr>
    </w:p>
    <w:p w:rsidR="004344BA" w:rsidRDefault="004344BA" w:rsidP="004344BA">
      <w:pPr>
        <w:jc w:val="both"/>
      </w:pPr>
      <w:r w:rsidRPr="004344BA">
        <w:t>Navrhuje se vypuštění daného textu vzhledem ke skutečnosti, že došlo ke změně v kategorizaci finančních aktiv v rámci IFRS 9. Neobchodovatelné cenné papíry, které nejsou pořízeny se záměrem bezprostředního nebo brzkého prodeje, se podle</w:t>
      </w:r>
      <w:r w:rsidR="00DE73DD">
        <w:t xml:space="preserve"> standardu</w:t>
      </w:r>
      <w:r w:rsidRPr="004344BA">
        <w:t xml:space="preserve"> IFRS 9 neoceňují reálnou hodnotou. IFRS 9 stanoví, že se finanční aktivum, které je drženo za účelem získání smluvních peněžních toků, oceňuje naběhlou hodnotou. Tato položka tedy obsahuje neobchodovatelné cenné papíry oceněné naběhlou hodnotou.</w:t>
      </w:r>
    </w:p>
    <w:p w:rsidR="0003697B" w:rsidRDefault="0003697B" w:rsidP="004344BA">
      <w:pPr>
        <w:jc w:val="both"/>
      </w:pPr>
    </w:p>
    <w:p w:rsidR="0003697B" w:rsidRDefault="0003697B" w:rsidP="004344BA">
      <w:pPr>
        <w:jc w:val="both"/>
        <w:rPr>
          <w:b/>
        </w:rPr>
      </w:pPr>
      <w:r w:rsidRPr="00D8163B">
        <w:rPr>
          <w:b/>
        </w:rPr>
        <w:t xml:space="preserve">K bodu </w:t>
      </w:r>
      <w:r w:rsidR="00D8163B">
        <w:rPr>
          <w:b/>
        </w:rPr>
        <w:t>1</w:t>
      </w:r>
      <w:r w:rsidR="0013119A">
        <w:rPr>
          <w:b/>
        </w:rPr>
        <w:t>4</w:t>
      </w:r>
      <w:r>
        <w:rPr>
          <w:b/>
        </w:rPr>
        <w:tab/>
      </w:r>
      <w:r>
        <w:rPr>
          <w:b/>
        </w:rPr>
        <w:tab/>
        <w:t>(§ 8 odst. 4)</w:t>
      </w:r>
    </w:p>
    <w:p w:rsidR="0003697B" w:rsidRDefault="0003697B" w:rsidP="004344BA">
      <w:pPr>
        <w:jc w:val="both"/>
        <w:rPr>
          <w:b/>
        </w:rPr>
      </w:pPr>
    </w:p>
    <w:p w:rsidR="0003697B" w:rsidRPr="00D8163B" w:rsidRDefault="0003697B" w:rsidP="004344BA">
      <w:pPr>
        <w:jc w:val="both"/>
        <w:rPr>
          <w:b/>
        </w:rPr>
      </w:pPr>
      <w:r>
        <w:t>Navrhovaná úprava je legislativně technického charakteru spočívající v nahrazení odkazu na neexistující ustanovení § 7</w:t>
      </w:r>
      <w:r w:rsidR="00D8163B">
        <w:t xml:space="preserve"> odst. 4</w:t>
      </w:r>
      <w:r>
        <w:t>.</w:t>
      </w:r>
    </w:p>
    <w:p w:rsidR="004344BA" w:rsidRDefault="004344BA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 xml:space="preserve"> bodům </w:t>
      </w:r>
      <w:r w:rsidR="0052776D">
        <w:rPr>
          <w:b/>
        </w:rPr>
        <w:t>1</w:t>
      </w:r>
      <w:r w:rsidR="0013119A">
        <w:rPr>
          <w:b/>
        </w:rPr>
        <w:t>2</w:t>
      </w:r>
      <w:r w:rsidR="00F82F8D">
        <w:rPr>
          <w:b/>
        </w:rPr>
        <w:t>, 1</w:t>
      </w:r>
      <w:r w:rsidR="0013119A">
        <w:rPr>
          <w:b/>
        </w:rPr>
        <w:t>5</w:t>
      </w:r>
      <w:r w:rsidR="00F82F8D">
        <w:rPr>
          <w:b/>
        </w:rPr>
        <w:t>, 1</w:t>
      </w:r>
      <w:r w:rsidR="00F35A67">
        <w:rPr>
          <w:b/>
        </w:rPr>
        <w:t>7</w:t>
      </w:r>
      <w:r w:rsidR="00F82F8D">
        <w:rPr>
          <w:b/>
        </w:rPr>
        <w:t xml:space="preserve"> a 1</w:t>
      </w:r>
      <w:r w:rsidR="00F35A67">
        <w:rPr>
          <w:b/>
        </w:rPr>
        <w:t>9</w:t>
      </w:r>
      <w:r w:rsidR="00F82F8D">
        <w:rPr>
          <w:b/>
        </w:rPr>
        <w:t xml:space="preserve"> </w:t>
      </w:r>
      <w:r>
        <w:rPr>
          <w:b/>
        </w:rPr>
        <w:tab/>
        <w:t>(§ 7 odst. 3</w:t>
      </w:r>
      <w:r w:rsidR="009C2295">
        <w:rPr>
          <w:b/>
        </w:rPr>
        <w:t>, § 8 odst. 5, § 9 odst. 4 a § 10 odst. 3</w:t>
      </w:r>
      <w:r>
        <w:rPr>
          <w:b/>
        </w:rPr>
        <w:t>)</w:t>
      </w:r>
    </w:p>
    <w:p w:rsidR="004344BA" w:rsidRDefault="004344BA" w:rsidP="004344BA">
      <w:pPr>
        <w:jc w:val="both"/>
        <w:rPr>
          <w:b/>
        </w:rPr>
      </w:pPr>
    </w:p>
    <w:p w:rsidR="004344BA" w:rsidRDefault="004344BA" w:rsidP="004344BA">
      <w:pPr>
        <w:jc w:val="both"/>
      </w:pPr>
      <w:r w:rsidRPr="00757E3D">
        <w:t xml:space="preserve">Navrhuje se vypuštění </w:t>
      </w:r>
      <w:r w:rsidR="006731ED" w:rsidRPr="00757E3D">
        <w:t>příslušných ustanovení.</w:t>
      </w:r>
      <w:r w:rsidRPr="00757E3D">
        <w:t xml:space="preserve"> </w:t>
      </w:r>
      <w:r w:rsidR="006731ED" w:rsidRPr="00757E3D">
        <w:t xml:space="preserve">Podle </w:t>
      </w:r>
      <w:r w:rsidRPr="00757E3D">
        <w:t>IFRS 9 se vložený derivát odděluje pouze u</w:t>
      </w:r>
      <w:r w:rsidR="00BA21B4" w:rsidRPr="00757E3D">
        <w:t xml:space="preserve"> aktiv, která nespadají do působnosti IFRS 9 a</w:t>
      </w:r>
      <w:r w:rsidRPr="00757E3D">
        <w:t xml:space="preserve"> závazků (viz bod 4.3.2 standardu IFRS 9).</w:t>
      </w:r>
      <w:r w:rsidRPr="004344BA">
        <w:t xml:space="preserve">  </w:t>
      </w:r>
    </w:p>
    <w:p w:rsidR="004344BA" w:rsidRPr="004344BA" w:rsidRDefault="004344BA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> </w:t>
      </w:r>
      <w:r>
        <w:rPr>
          <w:b/>
        </w:rPr>
        <w:t>bod</w:t>
      </w:r>
      <w:r w:rsidR="00F82F8D">
        <w:rPr>
          <w:b/>
        </w:rPr>
        <w:t xml:space="preserve">ům </w:t>
      </w:r>
      <w:r w:rsidR="0052776D">
        <w:rPr>
          <w:b/>
        </w:rPr>
        <w:t>1</w:t>
      </w:r>
      <w:r w:rsidR="00F35A67">
        <w:rPr>
          <w:b/>
        </w:rPr>
        <w:t>6</w:t>
      </w:r>
      <w:r w:rsidR="00F82F8D">
        <w:rPr>
          <w:b/>
        </w:rPr>
        <w:t xml:space="preserve">, </w:t>
      </w:r>
      <w:r w:rsidR="00FC02F5">
        <w:rPr>
          <w:b/>
        </w:rPr>
        <w:t>5</w:t>
      </w:r>
      <w:r w:rsidR="00F35A67">
        <w:rPr>
          <w:b/>
        </w:rPr>
        <w:t>9</w:t>
      </w:r>
      <w:r w:rsidR="00361E70">
        <w:rPr>
          <w:b/>
        </w:rPr>
        <w:t xml:space="preserve">, </w:t>
      </w:r>
      <w:r w:rsidR="0052776D">
        <w:rPr>
          <w:b/>
        </w:rPr>
        <w:t>6</w:t>
      </w:r>
      <w:r w:rsidR="00F35A67">
        <w:rPr>
          <w:b/>
        </w:rPr>
        <w:t>9</w:t>
      </w:r>
      <w:r w:rsidR="00FC02F5">
        <w:rPr>
          <w:b/>
        </w:rPr>
        <w:t xml:space="preserve"> </w:t>
      </w:r>
      <w:r w:rsidR="00F82F8D">
        <w:rPr>
          <w:b/>
        </w:rPr>
        <w:t xml:space="preserve">a </w:t>
      </w:r>
      <w:r w:rsidR="00F35A67">
        <w:rPr>
          <w:b/>
        </w:rPr>
        <w:t>70</w:t>
      </w:r>
      <w:r>
        <w:rPr>
          <w:b/>
        </w:rPr>
        <w:tab/>
        <w:t xml:space="preserve">(§ </w:t>
      </w:r>
      <w:r w:rsidR="009C2295">
        <w:rPr>
          <w:b/>
        </w:rPr>
        <w:t>9</w:t>
      </w:r>
      <w:r>
        <w:rPr>
          <w:b/>
        </w:rPr>
        <w:t xml:space="preserve"> odst. 1</w:t>
      </w:r>
      <w:r w:rsidR="00F82F8D">
        <w:rPr>
          <w:b/>
        </w:rPr>
        <w:t>,</w:t>
      </w:r>
      <w:r w:rsidR="00361E70">
        <w:rPr>
          <w:b/>
        </w:rPr>
        <w:t xml:space="preserve"> § 79 odst. 5,</w:t>
      </w:r>
      <w:r w:rsidR="006337BE">
        <w:rPr>
          <w:b/>
        </w:rPr>
        <w:t xml:space="preserve"> příloha č. 4 bod 36 a účtová třída 4</w:t>
      </w:r>
      <w:r>
        <w:rPr>
          <w:b/>
        </w:rPr>
        <w:t>)</w:t>
      </w:r>
    </w:p>
    <w:p w:rsidR="009C2295" w:rsidRDefault="009C2295" w:rsidP="004344BA">
      <w:pPr>
        <w:jc w:val="both"/>
        <w:rPr>
          <w:b/>
        </w:rPr>
      </w:pPr>
    </w:p>
    <w:p w:rsidR="009C2295" w:rsidRPr="009C2295" w:rsidRDefault="009C2295" w:rsidP="004344BA">
      <w:pPr>
        <w:jc w:val="both"/>
      </w:pPr>
      <w:r w:rsidRPr="009C2295">
        <w:t xml:space="preserve">Navrhovaná úprava vyplývá ze skutečnosti, že došlo ke změně v kategorizaci finančních aktiv v rámci IFRS 9. Nově se finanční aktiva klasifikují, oproti předešlému standardu IAS 39, jako nástroje následně oceněné naběhlou hodnotou, reálnou hodnotou do vlastního kapitálu a reálnou hodnotou do </w:t>
      </w:r>
      <w:r w:rsidR="006731ED">
        <w:t>výnosu nebo nákladů</w:t>
      </w:r>
      <w:r w:rsidRPr="009C2295">
        <w:t>.</w:t>
      </w:r>
    </w:p>
    <w:p w:rsidR="009C2295" w:rsidRDefault="009C2295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> </w:t>
      </w:r>
      <w:r>
        <w:rPr>
          <w:b/>
        </w:rPr>
        <w:t>bodu</w:t>
      </w:r>
      <w:r w:rsidR="00F82F8D">
        <w:rPr>
          <w:b/>
        </w:rPr>
        <w:t xml:space="preserve"> 1</w:t>
      </w:r>
      <w:r w:rsidR="00F35A67">
        <w:rPr>
          <w:b/>
        </w:rPr>
        <w:t>8</w:t>
      </w:r>
      <w:r>
        <w:rPr>
          <w:b/>
        </w:rPr>
        <w:tab/>
        <w:t xml:space="preserve">(§ </w:t>
      </w:r>
      <w:r w:rsidR="009C2295">
        <w:rPr>
          <w:b/>
        </w:rPr>
        <w:t>10</w:t>
      </w:r>
      <w:r>
        <w:rPr>
          <w:b/>
        </w:rPr>
        <w:t xml:space="preserve"> odst. 1)</w:t>
      </w:r>
    </w:p>
    <w:p w:rsidR="009C2295" w:rsidRDefault="009C2295" w:rsidP="004344BA">
      <w:pPr>
        <w:jc w:val="both"/>
        <w:rPr>
          <w:b/>
        </w:rPr>
      </w:pPr>
    </w:p>
    <w:p w:rsidR="009C2295" w:rsidRDefault="006731ED" w:rsidP="004344BA">
      <w:pPr>
        <w:jc w:val="both"/>
      </w:pPr>
      <w:r>
        <w:t>Podle</w:t>
      </w:r>
      <w:r w:rsidRPr="009C2295">
        <w:t xml:space="preserve"> </w:t>
      </w:r>
      <w:r w:rsidR="009C2295" w:rsidRPr="009C2295">
        <w:t>IFRS 9 jsou všechny akcie, podílové listy a ostatní podíly oceňovány reálnou hodnotou. V případě volby vykázání v reálné hodnotě do vlastního kapitálu není možné tvořit opravné položky, protože přecenění se</w:t>
      </w:r>
      <w:r>
        <w:t xml:space="preserve"> následně (při realizaci cenného papíru)</w:t>
      </w:r>
      <w:r w:rsidR="009C2295" w:rsidRPr="009C2295">
        <w:t xml:space="preserve"> nepromítne do výsledku hospodaření a zůstane v</w:t>
      </w:r>
      <w:r>
        <w:t>ykázán</w:t>
      </w:r>
      <w:r w:rsidR="00991A41">
        <w:t>o</w:t>
      </w:r>
      <w:r>
        <w:t xml:space="preserve"> ve vlastním kapitálu</w:t>
      </w:r>
      <w:r w:rsidR="009C2295" w:rsidRPr="009C2295">
        <w:t>.</w:t>
      </w:r>
    </w:p>
    <w:p w:rsidR="009C2295" w:rsidRPr="009C2295" w:rsidRDefault="009C2295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F82F8D">
        <w:rPr>
          <w:b/>
        </w:rPr>
        <w:t xml:space="preserve"> bodům </w:t>
      </w:r>
      <w:r w:rsidR="00F35A67">
        <w:rPr>
          <w:b/>
        </w:rPr>
        <w:t>20</w:t>
      </w:r>
      <w:r w:rsidR="00F82F8D">
        <w:rPr>
          <w:b/>
        </w:rPr>
        <w:t xml:space="preserve"> a </w:t>
      </w:r>
      <w:r w:rsidR="00F35A67">
        <w:rPr>
          <w:b/>
        </w:rPr>
        <w:t>21</w:t>
      </w:r>
      <w:r w:rsidR="00F82F8D">
        <w:rPr>
          <w:b/>
        </w:rPr>
        <w:tab/>
      </w:r>
      <w:r>
        <w:rPr>
          <w:b/>
        </w:rPr>
        <w:t xml:space="preserve">(§ </w:t>
      </w:r>
      <w:r w:rsidR="009C2295">
        <w:rPr>
          <w:b/>
        </w:rPr>
        <w:t>11</w:t>
      </w:r>
      <w:r>
        <w:rPr>
          <w:b/>
        </w:rPr>
        <w:t xml:space="preserve"> odst. 1</w:t>
      </w:r>
      <w:r w:rsidR="009C2295">
        <w:rPr>
          <w:b/>
        </w:rPr>
        <w:t xml:space="preserve"> a 2</w:t>
      </w:r>
      <w:r>
        <w:rPr>
          <w:b/>
        </w:rPr>
        <w:t>)</w:t>
      </w:r>
    </w:p>
    <w:p w:rsidR="009C2295" w:rsidRDefault="009C2295" w:rsidP="004344BA">
      <w:pPr>
        <w:jc w:val="both"/>
        <w:rPr>
          <w:b/>
        </w:rPr>
      </w:pPr>
    </w:p>
    <w:p w:rsidR="009C2295" w:rsidRPr="009C2295" w:rsidRDefault="009C2295" w:rsidP="004344BA">
      <w:pPr>
        <w:jc w:val="both"/>
      </w:pPr>
      <w:r w:rsidRPr="009C2295">
        <w:t>Navrhovaná úprava uvádí tvorbu opravných položek v položkách "7. Účasti s podstatným vlivem" a "8. Účasti s rozhodujícím vlivem"</w:t>
      </w:r>
      <w:r w:rsidR="006731ED" w:rsidRPr="006731ED">
        <w:t xml:space="preserve"> </w:t>
      </w:r>
      <w:r w:rsidR="006731ED" w:rsidRPr="009C2295">
        <w:t>do souladu s IFRS 9.</w:t>
      </w:r>
    </w:p>
    <w:p w:rsidR="009C2295" w:rsidRDefault="009C2295" w:rsidP="004344BA">
      <w:pPr>
        <w:jc w:val="both"/>
        <w:rPr>
          <w:b/>
        </w:rPr>
      </w:pPr>
    </w:p>
    <w:p w:rsidR="004344BA" w:rsidRDefault="00F82F8D" w:rsidP="004344BA">
      <w:pPr>
        <w:jc w:val="both"/>
        <w:rPr>
          <w:b/>
        </w:rPr>
      </w:pPr>
      <w:r>
        <w:rPr>
          <w:b/>
        </w:rPr>
        <w:t xml:space="preserve">K bodům </w:t>
      </w:r>
      <w:r w:rsidR="00254D31">
        <w:rPr>
          <w:b/>
        </w:rPr>
        <w:t>2</w:t>
      </w:r>
      <w:r w:rsidR="00F35A67">
        <w:rPr>
          <w:b/>
        </w:rPr>
        <w:t>2</w:t>
      </w:r>
      <w:r>
        <w:rPr>
          <w:b/>
        </w:rPr>
        <w:t xml:space="preserve">, </w:t>
      </w:r>
      <w:r w:rsidR="00254D31">
        <w:rPr>
          <w:b/>
        </w:rPr>
        <w:t>2</w:t>
      </w:r>
      <w:r w:rsidR="00F35A67">
        <w:rPr>
          <w:b/>
        </w:rPr>
        <w:t>4</w:t>
      </w:r>
      <w:r>
        <w:rPr>
          <w:b/>
        </w:rPr>
        <w:t xml:space="preserve">, </w:t>
      </w:r>
      <w:r w:rsidR="00254D31">
        <w:rPr>
          <w:b/>
        </w:rPr>
        <w:t>2</w:t>
      </w:r>
      <w:r w:rsidR="00F35A67">
        <w:rPr>
          <w:b/>
        </w:rPr>
        <w:t>6</w:t>
      </w:r>
      <w:r>
        <w:rPr>
          <w:b/>
        </w:rPr>
        <w:t xml:space="preserve"> a </w:t>
      </w:r>
      <w:r w:rsidR="00254D31">
        <w:rPr>
          <w:b/>
        </w:rPr>
        <w:t>2</w:t>
      </w:r>
      <w:r w:rsidR="00F35A67">
        <w:rPr>
          <w:b/>
        </w:rPr>
        <w:t>7</w:t>
      </w:r>
      <w:r w:rsidR="004344BA">
        <w:rPr>
          <w:b/>
        </w:rPr>
        <w:tab/>
        <w:t xml:space="preserve">(§ </w:t>
      </w:r>
      <w:r w:rsidR="009C2295">
        <w:rPr>
          <w:b/>
        </w:rPr>
        <w:t>14</w:t>
      </w:r>
      <w:r w:rsidR="004344BA">
        <w:rPr>
          <w:b/>
        </w:rPr>
        <w:t xml:space="preserve"> odst. 1</w:t>
      </w:r>
      <w:r w:rsidR="009C2295">
        <w:rPr>
          <w:b/>
        </w:rPr>
        <w:t>, § 18 odst. 4</w:t>
      </w:r>
      <w:r w:rsidR="00C1070B">
        <w:rPr>
          <w:b/>
        </w:rPr>
        <w:t>, § 19 odst. 4 a § 20 odst. 1</w:t>
      </w:r>
      <w:r w:rsidR="004344BA">
        <w:rPr>
          <w:b/>
        </w:rPr>
        <w:t>)</w:t>
      </w:r>
    </w:p>
    <w:p w:rsidR="009C2295" w:rsidRDefault="009C2295" w:rsidP="004344BA">
      <w:pPr>
        <w:jc w:val="both"/>
        <w:rPr>
          <w:b/>
        </w:rPr>
      </w:pPr>
    </w:p>
    <w:p w:rsidR="009C2295" w:rsidRDefault="009C2295" w:rsidP="004344BA">
      <w:pPr>
        <w:jc w:val="both"/>
      </w:pPr>
      <w:r w:rsidRPr="009C2295">
        <w:lastRenderedPageBreak/>
        <w:t>Navrhuje se oddělování vložených derivátů přesunout do § 17 odst. 3.</w:t>
      </w:r>
    </w:p>
    <w:p w:rsidR="009C2295" w:rsidRDefault="009C2295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bodu</w:t>
      </w:r>
      <w:r w:rsidR="00DB4926">
        <w:rPr>
          <w:b/>
        </w:rPr>
        <w:t xml:space="preserve"> 2</w:t>
      </w:r>
      <w:r w:rsidR="00F35A67">
        <w:rPr>
          <w:b/>
        </w:rPr>
        <w:t>5</w:t>
      </w:r>
      <w:r>
        <w:rPr>
          <w:b/>
        </w:rPr>
        <w:tab/>
        <w:t xml:space="preserve">(§ </w:t>
      </w:r>
      <w:r w:rsidR="009C2295">
        <w:rPr>
          <w:b/>
        </w:rPr>
        <w:t>19</w:t>
      </w:r>
      <w:r>
        <w:rPr>
          <w:b/>
        </w:rPr>
        <w:t xml:space="preserve"> odst. </w:t>
      </w:r>
      <w:r w:rsidR="009C2295">
        <w:rPr>
          <w:b/>
        </w:rPr>
        <w:t>3</w:t>
      </w:r>
      <w:r>
        <w:rPr>
          <w:b/>
        </w:rPr>
        <w:t>)</w:t>
      </w:r>
    </w:p>
    <w:p w:rsidR="009C2295" w:rsidRDefault="009C2295" w:rsidP="004344BA">
      <w:pPr>
        <w:jc w:val="both"/>
        <w:rPr>
          <w:b/>
        </w:rPr>
      </w:pPr>
    </w:p>
    <w:p w:rsidR="009C2295" w:rsidRDefault="009C2295" w:rsidP="004344BA">
      <w:pPr>
        <w:jc w:val="both"/>
        <w:rPr>
          <w:b/>
        </w:rPr>
      </w:pPr>
      <w:r w:rsidRPr="009C2295">
        <w:t xml:space="preserve">V souladu s IFRS 9 je dána účetní jednotce možnost při prvotním zaúčtování neodvolatelně zařadit finanční závazek do kategorie oceňované reálnou hodnotou do </w:t>
      </w:r>
      <w:r w:rsidR="006731ED">
        <w:t>výnosů nebo nákladů</w:t>
      </w:r>
      <w:r w:rsidRPr="009C2295">
        <w:t xml:space="preserve"> (IFRS 9 bod 4.2.2.). Vložení odstavce 3 reaguje na tuto možnost a v případě použití této možnosti stane se součástí položky “3. Závazky z dluhových cenných papírů“ i přecenění na reálnou hodnotu.</w:t>
      </w:r>
    </w:p>
    <w:p w:rsidR="00A8305D" w:rsidRDefault="00A8305D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bodu</w:t>
      </w:r>
      <w:r w:rsidR="00DB4926">
        <w:rPr>
          <w:b/>
        </w:rPr>
        <w:t xml:space="preserve"> 2</w:t>
      </w:r>
      <w:r w:rsidR="00F35A67">
        <w:rPr>
          <w:b/>
        </w:rPr>
        <w:t>8</w:t>
      </w:r>
      <w:r>
        <w:rPr>
          <w:b/>
        </w:rPr>
        <w:tab/>
        <w:t xml:space="preserve">(§ </w:t>
      </w:r>
      <w:r w:rsidR="00C1070B">
        <w:rPr>
          <w:b/>
        </w:rPr>
        <w:t>29</w:t>
      </w:r>
      <w:r>
        <w:rPr>
          <w:b/>
        </w:rPr>
        <w:t xml:space="preserve"> odst. 1)</w:t>
      </w:r>
    </w:p>
    <w:p w:rsidR="00254D31" w:rsidRDefault="00254D31" w:rsidP="004344BA">
      <w:pPr>
        <w:jc w:val="both"/>
      </w:pPr>
    </w:p>
    <w:p w:rsidR="00C1070B" w:rsidRPr="0016234A" w:rsidRDefault="00C1070B" w:rsidP="004344BA">
      <w:pPr>
        <w:jc w:val="both"/>
      </w:pPr>
      <w:r w:rsidRPr="001F5484">
        <w:t xml:space="preserve">Navrhovaná úprava vyplývá ze skutečnosti, že došlo ke změně v kategorizaci finančních aktiv v rámci IFRS 9. Nově se finanční aktiva klasifikují, oproti předešlému standardu IAS 39, jako nástroje následně oceněné naběhlou hodnotou, reálnou hodnotou do vlastního kapitálu a </w:t>
      </w:r>
      <w:r w:rsidRPr="0016234A">
        <w:t xml:space="preserve">reálnou hodnotou do </w:t>
      </w:r>
      <w:r w:rsidR="006C76AE">
        <w:t>výnosů nebo nákladů</w:t>
      </w:r>
      <w:r w:rsidRPr="0016234A">
        <w:t>.</w:t>
      </w:r>
    </w:p>
    <w:p w:rsidR="00E25F4A" w:rsidRPr="0016234A" w:rsidRDefault="00E25F4A" w:rsidP="009A6893">
      <w:pPr>
        <w:jc w:val="both"/>
      </w:pPr>
    </w:p>
    <w:p w:rsidR="00E25F4A" w:rsidRDefault="00E25F4A" w:rsidP="00E25F4A">
      <w:pPr>
        <w:jc w:val="both"/>
      </w:pPr>
      <w:r w:rsidRPr="0016234A">
        <w:t>IFRS 9 se vztahuje na zajišťovací účetnictví pro položky v cizích měnách. Aplikace zajišťovacího účetnictví požaduje od účetní jednotky, aby účtovala o některých kurzových rozdílech odlišně od řešení kurzových rozdílů, na které se vztahuje tento standard. IFRS 9 požaduje, aby kurzové rozdíly peněžních položek, které se kvalifikují jako zajišťovací nástroje při zajištění peněžních toků, byly prvotně vykazovány v</w:t>
      </w:r>
      <w:r w:rsidR="006C76AE">
        <w:t>e</w:t>
      </w:r>
      <w:r w:rsidRPr="0016234A">
        <w:t xml:space="preserve"> </w:t>
      </w:r>
      <w:r w:rsidR="006C76AE">
        <w:t>vlastním kapitálu</w:t>
      </w:r>
      <w:r w:rsidRPr="0016234A">
        <w:t>, ve kterém je zajištění efektivní.</w:t>
      </w:r>
    </w:p>
    <w:p w:rsidR="00D81B27" w:rsidRDefault="00D81B27" w:rsidP="00E25F4A">
      <w:pPr>
        <w:jc w:val="both"/>
      </w:pPr>
    </w:p>
    <w:p w:rsidR="00D81B27" w:rsidRPr="00F1016B" w:rsidRDefault="00D81B27" w:rsidP="00E25F4A">
      <w:pPr>
        <w:jc w:val="both"/>
      </w:pPr>
      <w:r>
        <w:t>Zajišťovací metody jsou blíže popsány v kapitole 6.5 standardu</w:t>
      </w:r>
      <w:r w:rsidR="001A0CAC">
        <w:t xml:space="preserve"> IFRS 9</w:t>
      </w:r>
      <w:r>
        <w:t>.</w:t>
      </w:r>
    </w:p>
    <w:p w:rsidR="00233383" w:rsidRDefault="00233383" w:rsidP="004344BA">
      <w:pPr>
        <w:jc w:val="both"/>
        <w:rPr>
          <w:b/>
        </w:rPr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bodu</w:t>
      </w:r>
      <w:r w:rsidR="00DB4926">
        <w:rPr>
          <w:b/>
        </w:rPr>
        <w:t xml:space="preserve"> 2</w:t>
      </w:r>
      <w:r w:rsidR="00F35A67">
        <w:rPr>
          <w:b/>
        </w:rPr>
        <w:t>9</w:t>
      </w:r>
      <w:r>
        <w:rPr>
          <w:b/>
        </w:rPr>
        <w:tab/>
        <w:t xml:space="preserve">(§ </w:t>
      </w:r>
      <w:r w:rsidR="00C1070B">
        <w:rPr>
          <w:b/>
        </w:rPr>
        <w:t>30</w:t>
      </w:r>
      <w:r>
        <w:rPr>
          <w:b/>
        </w:rPr>
        <w:t xml:space="preserve"> odst. </w:t>
      </w:r>
      <w:r w:rsidR="00C1070B">
        <w:rPr>
          <w:b/>
        </w:rPr>
        <w:t>2</w:t>
      </w:r>
      <w:r>
        <w:rPr>
          <w:b/>
        </w:rPr>
        <w:t>)</w:t>
      </w:r>
    </w:p>
    <w:p w:rsidR="00C1070B" w:rsidRDefault="00C1070B" w:rsidP="004344BA">
      <w:pPr>
        <w:jc w:val="both"/>
        <w:rPr>
          <w:b/>
        </w:rPr>
      </w:pPr>
    </w:p>
    <w:p w:rsidR="00C1070B" w:rsidRDefault="00C1070B" w:rsidP="004344BA">
      <w:pPr>
        <w:jc w:val="both"/>
      </w:pPr>
      <w:r w:rsidRPr="00C1070B">
        <w:t>Navrhovaná úprava v souladu s IFRS 9 stanoví obsah položky "14. Nerozdělený zisk nebo neuhrazená ztráta z předchozích období" v případě, že se jedná o finanční aktiva dobrovolně zařazená do kategorie oceňované reálnou hodnotou proti účtům vlastního kapitálu.</w:t>
      </w:r>
    </w:p>
    <w:p w:rsidR="00C1070B" w:rsidRPr="00C1070B" w:rsidRDefault="00C1070B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bodu</w:t>
      </w:r>
      <w:r w:rsidR="00DB4926">
        <w:rPr>
          <w:b/>
        </w:rPr>
        <w:t xml:space="preserve"> </w:t>
      </w:r>
      <w:r w:rsidR="00F35A67">
        <w:rPr>
          <w:b/>
        </w:rPr>
        <w:t>30</w:t>
      </w:r>
      <w:r>
        <w:rPr>
          <w:b/>
        </w:rPr>
        <w:tab/>
        <w:t xml:space="preserve">(§ </w:t>
      </w:r>
      <w:r w:rsidR="00C1070B">
        <w:rPr>
          <w:b/>
        </w:rPr>
        <w:t>44</w:t>
      </w:r>
      <w:r>
        <w:rPr>
          <w:b/>
        </w:rPr>
        <w:t xml:space="preserve"> odst. </w:t>
      </w:r>
      <w:r w:rsidR="00C1070B">
        <w:rPr>
          <w:b/>
        </w:rPr>
        <w:t>4</w:t>
      </w:r>
      <w:r>
        <w:rPr>
          <w:b/>
        </w:rPr>
        <w:t>)</w:t>
      </w:r>
    </w:p>
    <w:p w:rsidR="00C1070B" w:rsidRDefault="00C1070B" w:rsidP="004344BA">
      <w:pPr>
        <w:jc w:val="both"/>
        <w:rPr>
          <w:b/>
        </w:rPr>
      </w:pPr>
    </w:p>
    <w:p w:rsidR="00081719" w:rsidRDefault="00081719" w:rsidP="00C1070B">
      <w:pPr>
        <w:jc w:val="both"/>
      </w:pPr>
      <w:r w:rsidRPr="00C1070B">
        <w:t xml:space="preserve">Navrhovaná změna souvisí s využitím diskrece v čl. 8 odst. 6 směrnice 2013/34/EU. </w:t>
      </w:r>
      <w:r>
        <w:t>Podle n</w:t>
      </w:r>
      <w:r w:rsidRPr="00C1070B">
        <w:t>ově navrhovan</w:t>
      </w:r>
      <w:r>
        <w:t>ého</w:t>
      </w:r>
      <w:r w:rsidRPr="00C1070B">
        <w:t xml:space="preserve"> § </w:t>
      </w:r>
      <w:r>
        <w:t>4 odst. 7 a 8</w:t>
      </w:r>
      <w:r w:rsidRPr="00C1070B">
        <w:t xml:space="preserve"> </w:t>
      </w:r>
      <w:r>
        <w:t xml:space="preserve">účetní jednotka </w:t>
      </w:r>
      <w:r w:rsidRPr="00C1070B">
        <w:t>použije přímo účinný předpis Evropské unie pro</w:t>
      </w:r>
      <w:r>
        <w:t xml:space="preserve"> finanční nástroje.</w:t>
      </w:r>
    </w:p>
    <w:p w:rsidR="00C1070B" w:rsidRDefault="00C1070B" w:rsidP="00C1070B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</w:t>
      </w:r>
      <w:r w:rsidR="00FD6BE6">
        <w:rPr>
          <w:b/>
        </w:rPr>
        <w:t>ům</w:t>
      </w:r>
      <w:r w:rsidR="00DB4926">
        <w:rPr>
          <w:b/>
        </w:rPr>
        <w:t xml:space="preserve"> </w:t>
      </w:r>
      <w:r w:rsidR="00F35A67">
        <w:rPr>
          <w:b/>
        </w:rPr>
        <w:t>31</w:t>
      </w:r>
      <w:r w:rsidR="00FD6BE6">
        <w:rPr>
          <w:b/>
        </w:rPr>
        <w:t xml:space="preserve"> a 3</w:t>
      </w:r>
      <w:r w:rsidR="00F35A67">
        <w:rPr>
          <w:b/>
        </w:rPr>
        <w:t>2</w:t>
      </w:r>
      <w:r>
        <w:rPr>
          <w:b/>
        </w:rPr>
        <w:tab/>
        <w:t xml:space="preserve">(§ </w:t>
      </w:r>
      <w:r w:rsidR="00C1070B">
        <w:rPr>
          <w:b/>
        </w:rPr>
        <w:t>4</w:t>
      </w:r>
      <w:r>
        <w:rPr>
          <w:b/>
        </w:rPr>
        <w:t>7 odst. 1</w:t>
      </w:r>
      <w:r w:rsidR="00FD6BE6">
        <w:rPr>
          <w:b/>
        </w:rPr>
        <w:t xml:space="preserve"> a 2</w:t>
      </w:r>
      <w:r>
        <w:rPr>
          <w:b/>
        </w:rPr>
        <w:t>)</w:t>
      </w:r>
    </w:p>
    <w:p w:rsidR="00C1070B" w:rsidRDefault="00C1070B" w:rsidP="004344BA">
      <w:pPr>
        <w:jc w:val="both"/>
        <w:rPr>
          <w:b/>
        </w:rPr>
      </w:pPr>
    </w:p>
    <w:p w:rsidR="00C1070B" w:rsidRPr="00C1070B" w:rsidRDefault="006C76AE" w:rsidP="00C1070B">
      <w:pPr>
        <w:jc w:val="both"/>
      </w:pPr>
      <w:r>
        <w:t>Navrhuje se, aby se v položce „6. Zisk nebo ztráta z finančních operací“ vykazoval</w:t>
      </w:r>
      <w:r w:rsidR="00C1070B" w:rsidRPr="00C1070B">
        <w:t xml:space="preserve"> zisk </w:t>
      </w:r>
      <w:r>
        <w:t>nebo</w:t>
      </w:r>
      <w:r w:rsidRPr="00C1070B">
        <w:t xml:space="preserve"> </w:t>
      </w:r>
      <w:r w:rsidR="00C1070B" w:rsidRPr="00C1070B">
        <w:t xml:space="preserve">ztráta ze všech cenných papírů, kromě majetkových cenných papírů, u kterých účetní jednotka využila </w:t>
      </w:r>
      <w:r>
        <w:t>možnost</w:t>
      </w:r>
      <w:r w:rsidRPr="00C1070B">
        <w:t xml:space="preserve"> </w:t>
      </w:r>
      <w:r w:rsidR="00C1070B" w:rsidRPr="00C1070B">
        <w:t xml:space="preserve">je oceňovat do vlastního kapitálu. V tomto případě se už zisk </w:t>
      </w:r>
      <w:r>
        <w:t>nebo</w:t>
      </w:r>
      <w:r w:rsidRPr="00C1070B">
        <w:t xml:space="preserve"> </w:t>
      </w:r>
      <w:r w:rsidR="00C1070B" w:rsidRPr="00C1070B">
        <w:t xml:space="preserve">ztráta při </w:t>
      </w:r>
      <w:r>
        <w:t>realizaci</w:t>
      </w:r>
      <w:r w:rsidRPr="00C1070B">
        <w:t xml:space="preserve"> </w:t>
      </w:r>
      <w:r w:rsidR="00C1070B" w:rsidRPr="00C1070B">
        <w:t xml:space="preserve">nepřevádí do výsledku hospodaření. Opravná položka se </w:t>
      </w:r>
      <w:r>
        <w:t>vytváří</w:t>
      </w:r>
      <w:r w:rsidRPr="00C1070B">
        <w:t xml:space="preserve"> </w:t>
      </w:r>
      <w:r w:rsidR="00C1070B" w:rsidRPr="00C1070B">
        <w:t>u všech cenných papírů, ale bude vykázána v samostatné položce - viz § 50.</w:t>
      </w:r>
    </w:p>
    <w:p w:rsidR="00C1070B" w:rsidRDefault="00C1070B" w:rsidP="00C1070B">
      <w:pPr>
        <w:jc w:val="both"/>
      </w:pPr>
    </w:p>
    <w:p w:rsidR="00C1070B" w:rsidRDefault="00C1070B" w:rsidP="00C1070B">
      <w:pPr>
        <w:jc w:val="both"/>
      </w:pPr>
      <w:r w:rsidRPr="00C1070B">
        <w:t xml:space="preserve">Navrhovaná úprava vyplývá ze skutečnosti, že došlo ke změně v kategorizaci finančních aktiv v rámci IFRS 9. Nově se finanční aktiva klasifikují, oproti předešlému standardu IAS 39, jako nástroje následně oceněné naběhlou hodnotou, reálnou hodnotou do vlastního kapitálu a reálnou hodnotou do </w:t>
      </w:r>
      <w:r w:rsidR="006C76AE">
        <w:t>výnosů nebo nákladů</w:t>
      </w:r>
      <w:r w:rsidRPr="00C1070B">
        <w:t>.</w:t>
      </w:r>
    </w:p>
    <w:p w:rsidR="00A8305D" w:rsidRDefault="00A8305D" w:rsidP="004344BA">
      <w:pPr>
        <w:jc w:val="both"/>
        <w:rPr>
          <w:b/>
        </w:rPr>
      </w:pPr>
    </w:p>
    <w:p w:rsidR="004344BA" w:rsidRDefault="00DB4926" w:rsidP="004344BA">
      <w:pPr>
        <w:jc w:val="both"/>
        <w:rPr>
          <w:b/>
        </w:rPr>
      </w:pPr>
      <w:r>
        <w:rPr>
          <w:b/>
        </w:rPr>
        <w:t xml:space="preserve">K bodům </w:t>
      </w:r>
      <w:r w:rsidR="00254D31">
        <w:rPr>
          <w:b/>
        </w:rPr>
        <w:t>3</w:t>
      </w:r>
      <w:r w:rsidR="00F35A67">
        <w:rPr>
          <w:b/>
        </w:rPr>
        <w:t>3</w:t>
      </w:r>
      <w:r w:rsidR="00252950">
        <w:rPr>
          <w:b/>
        </w:rPr>
        <w:t>,</w:t>
      </w:r>
      <w:r>
        <w:rPr>
          <w:b/>
        </w:rPr>
        <w:t xml:space="preserve"> </w:t>
      </w:r>
      <w:r w:rsidR="00254D31">
        <w:rPr>
          <w:b/>
        </w:rPr>
        <w:t>3</w:t>
      </w:r>
      <w:r w:rsidR="00F35A67">
        <w:rPr>
          <w:b/>
        </w:rPr>
        <w:t>4</w:t>
      </w:r>
      <w:r w:rsidR="00252950">
        <w:rPr>
          <w:b/>
        </w:rPr>
        <w:t xml:space="preserve"> a 6</w:t>
      </w:r>
      <w:r w:rsidR="00F35A67">
        <w:rPr>
          <w:b/>
        </w:rPr>
        <w:t>5</w:t>
      </w:r>
      <w:r w:rsidR="00252950">
        <w:rPr>
          <w:b/>
        </w:rPr>
        <w:tab/>
      </w:r>
      <w:r w:rsidR="004344BA">
        <w:rPr>
          <w:b/>
        </w:rPr>
        <w:tab/>
        <w:t xml:space="preserve">(§ </w:t>
      </w:r>
      <w:r w:rsidR="00C1070B">
        <w:rPr>
          <w:b/>
        </w:rPr>
        <w:t>50</w:t>
      </w:r>
      <w:r w:rsidR="004344BA">
        <w:rPr>
          <w:b/>
        </w:rPr>
        <w:t xml:space="preserve"> odst. </w:t>
      </w:r>
      <w:r w:rsidR="00C1070B">
        <w:rPr>
          <w:b/>
        </w:rPr>
        <w:t>2 a 3</w:t>
      </w:r>
      <w:r w:rsidR="00252950">
        <w:rPr>
          <w:b/>
        </w:rPr>
        <w:t xml:space="preserve"> a příloha č. 2</w:t>
      </w:r>
      <w:r w:rsidR="00F35A67">
        <w:rPr>
          <w:b/>
        </w:rPr>
        <w:t xml:space="preserve"> body 12 a 13</w:t>
      </w:r>
      <w:r w:rsidR="004344BA">
        <w:rPr>
          <w:b/>
        </w:rPr>
        <w:t>)</w:t>
      </w:r>
    </w:p>
    <w:p w:rsidR="00C1070B" w:rsidRDefault="00C1070B" w:rsidP="004344BA">
      <w:pPr>
        <w:jc w:val="both"/>
        <w:rPr>
          <w:b/>
        </w:rPr>
      </w:pPr>
    </w:p>
    <w:p w:rsidR="00570A4F" w:rsidRDefault="00570A4F" w:rsidP="004344BA">
      <w:pPr>
        <w:jc w:val="both"/>
      </w:pPr>
      <w:r>
        <w:t xml:space="preserve">Pro zvýšení právní jistoty dotčených účetních jednotek se názvy položek doplňují o cenné papíry. </w:t>
      </w:r>
    </w:p>
    <w:p w:rsidR="00570A4F" w:rsidRDefault="00570A4F" w:rsidP="004344BA">
      <w:pPr>
        <w:jc w:val="both"/>
      </w:pPr>
    </w:p>
    <w:p w:rsidR="00C1070B" w:rsidRDefault="00C1070B" w:rsidP="004344BA">
      <w:pPr>
        <w:jc w:val="both"/>
      </w:pPr>
      <w:r w:rsidRPr="00C1070B">
        <w:t xml:space="preserve">Navrhovaná úprava vyplývá ze skutečnosti, že došlo ke změně v kategorizaci finančních aktiv v rámci IFRS 9. Nově se finanční aktiva klasifikují, oproti předešlému standardu IAS 39, jako nástroje následně oceněné naběhlou hodnotou, reálnou hodnotou do vlastního kapitálu a reálnou hodnotou do </w:t>
      </w:r>
      <w:r w:rsidR="006C76AE">
        <w:t>výnosů nebo nákladů</w:t>
      </w:r>
      <w:r w:rsidRPr="00C1070B">
        <w:t>.</w:t>
      </w:r>
    </w:p>
    <w:p w:rsidR="00C1070B" w:rsidRPr="00C1070B" w:rsidRDefault="00C1070B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bodu</w:t>
      </w:r>
      <w:r w:rsidR="00DB4926">
        <w:rPr>
          <w:b/>
        </w:rPr>
        <w:t xml:space="preserve"> </w:t>
      </w:r>
      <w:r w:rsidR="00254D31">
        <w:rPr>
          <w:b/>
        </w:rPr>
        <w:t>3</w:t>
      </w:r>
      <w:r w:rsidR="00F35A67">
        <w:rPr>
          <w:b/>
        </w:rPr>
        <w:t>5</w:t>
      </w:r>
      <w:r>
        <w:rPr>
          <w:b/>
        </w:rPr>
        <w:tab/>
        <w:t xml:space="preserve">(§ </w:t>
      </w:r>
      <w:r w:rsidR="00C1070B">
        <w:rPr>
          <w:b/>
        </w:rPr>
        <w:t>52</w:t>
      </w:r>
      <w:r>
        <w:rPr>
          <w:b/>
        </w:rPr>
        <w:t>)</w:t>
      </w:r>
    </w:p>
    <w:p w:rsidR="00C1070B" w:rsidRDefault="00C1070B" w:rsidP="004344BA">
      <w:pPr>
        <w:jc w:val="both"/>
        <w:rPr>
          <w:b/>
        </w:rPr>
      </w:pPr>
    </w:p>
    <w:p w:rsidR="00C1070B" w:rsidRDefault="00C1070B" w:rsidP="004344BA">
      <w:pPr>
        <w:jc w:val="both"/>
      </w:pPr>
      <w:r w:rsidRPr="00C1070B">
        <w:t>Navrhuje se, v souvislosti s vymezením obsahu, uspořádání a označení výkazu zisku a ztráty podle směrnice 2013/34/EU, zrušení položek "20. Mimořádné výnosy" a "21. Mimořádné náklady".</w:t>
      </w:r>
    </w:p>
    <w:p w:rsidR="00C1070B" w:rsidRPr="00C1070B" w:rsidRDefault="00C1070B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</w:t>
      </w:r>
      <w:r w:rsidR="00570A4F">
        <w:rPr>
          <w:b/>
        </w:rPr>
        <w:t xml:space="preserve">ům </w:t>
      </w:r>
      <w:r w:rsidR="002D5BB3">
        <w:rPr>
          <w:b/>
        </w:rPr>
        <w:t>3</w:t>
      </w:r>
      <w:r w:rsidR="00F35A67">
        <w:rPr>
          <w:b/>
        </w:rPr>
        <w:t>6</w:t>
      </w:r>
      <w:r w:rsidR="002D5BB3">
        <w:rPr>
          <w:b/>
        </w:rPr>
        <w:t>, 3</w:t>
      </w:r>
      <w:r w:rsidR="00F35A67">
        <w:rPr>
          <w:b/>
        </w:rPr>
        <w:t>8</w:t>
      </w:r>
      <w:r w:rsidR="002D5BB3">
        <w:rPr>
          <w:b/>
        </w:rPr>
        <w:t>, 3</w:t>
      </w:r>
      <w:r w:rsidR="00F35A67">
        <w:rPr>
          <w:b/>
        </w:rPr>
        <w:t>9</w:t>
      </w:r>
      <w:r w:rsidR="002D5BB3">
        <w:rPr>
          <w:b/>
        </w:rPr>
        <w:t xml:space="preserve">, </w:t>
      </w:r>
      <w:r w:rsidR="00F35A67">
        <w:rPr>
          <w:b/>
        </w:rPr>
        <w:t>40</w:t>
      </w:r>
      <w:r w:rsidR="002D5BB3">
        <w:rPr>
          <w:b/>
        </w:rPr>
        <w:t xml:space="preserve">, </w:t>
      </w:r>
      <w:r w:rsidR="00F35A67">
        <w:rPr>
          <w:b/>
        </w:rPr>
        <w:t>41</w:t>
      </w:r>
      <w:r w:rsidR="002D5BB3">
        <w:rPr>
          <w:b/>
        </w:rPr>
        <w:t>, 4</w:t>
      </w:r>
      <w:r w:rsidR="00F35A67">
        <w:rPr>
          <w:b/>
        </w:rPr>
        <w:t>3</w:t>
      </w:r>
      <w:r w:rsidR="002D5BB3">
        <w:rPr>
          <w:b/>
        </w:rPr>
        <w:t>, 4</w:t>
      </w:r>
      <w:r w:rsidR="00F35A67">
        <w:rPr>
          <w:b/>
        </w:rPr>
        <w:t>4</w:t>
      </w:r>
      <w:r w:rsidR="002D5BB3">
        <w:rPr>
          <w:b/>
        </w:rPr>
        <w:t>, 4</w:t>
      </w:r>
      <w:r w:rsidR="00F35A67">
        <w:rPr>
          <w:b/>
        </w:rPr>
        <w:t>6</w:t>
      </w:r>
      <w:r w:rsidR="00E54E88">
        <w:rPr>
          <w:b/>
        </w:rPr>
        <w:t>, 4</w:t>
      </w:r>
      <w:r w:rsidR="00F35A67">
        <w:rPr>
          <w:b/>
        </w:rPr>
        <w:t>7</w:t>
      </w:r>
      <w:r w:rsidR="002D5BB3">
        <w:rPr>
          <w:b/>
        </w:rPr>
        <w:t xml:space="preserve"> a 4</w:t>
      </w:r>
      <w:r w:rsidR="00F35A67">
        <w:rPr>
          <w:b/>
        </w:rPr>
        <w:t>9</w:t>
      </w:r>
      <w:r w:rsidR="002D5BB3">
        <w:rPr>
          <w:b/>
        </w:rPr>
        <w:tab/>
      </w:r>
      <w:r>
        <w:rPr>
          <w:b/>
        </w:rPr>
        <w:t xml:space="preserve">(§ </w:t>
      </w:r>
      <w:r w:rsidR="00C1070B">
        <w:rPr>
          <w:b/>
        </w:rPr>
        <w:t>54</w:t>
      </w:r>
      <w:r>
        <w:rPr>
          <w:b/>
        </w:rPr>
        <w:t xml:space="preserve"> odst. 1</w:t>
      </w:r>
      <w:r w:rsidR="00C1070B">
        <w:rPr>
          <w:b/>
        </w:rPr>
        <w:t xml:space="preserve"> písm. e)</w:t>
      </w:r>
      <w:r w:rsidR="00570A4F">
        <w:rPr>
          <w:b/>
        </w:rPr>
        <w:t>,</w:t>
      </w:r>
      <w:r w:rsidR="00570A4F" w:rsidRPr="00570A4F">
        <w:rPr>
          <w:b/>
        </w:rPr>
        <w:t xml:space="preserve"> </w:t>
      </w:r>
      <w:r w:rsidR="00570A4F">
        <w:rPr>
          <w:b/>
        </w:rPr>
        <w:t>§ 54 odst. 2 písm. f)</w:t>
      </w:r>
      <w:r w:rsidR="00EC06AA">
        <w:rPr>
          <w:b/>
        </w:rPr>
        <w:t>,</w:t>
      </w:r>
      <w:r w:rsidR="00DE6BCC">
        <w:rPr>
          <w:b/>
        </w:rPr>
        <w:t xml:space="preserve"> § 54 odst. 2 písm. f) bod 2,</w:t>
      </w:r>
      <w:r w:rsidR="00570A4F">
        <w:rPr>
          <w:b/>
        </w:rPr>
        <w:t xml:space="preserve"> </w:t>
      </w:r>
      <w:r w:rsidR="00DE6BCC">
        <w:rPr>
          <w:b/>
        </w:rPr>
        <w:t xml:space="preserve">§ 54 odst. 2 písm. f) bod 3, </w:t>
      </w:r>
      <w:r w:rsidR="00570A4F">
        <w:rPr>
          <w:b/>
        </w:rPr>
        <w:t>§ 54 odst. 3 písm. a) až c</w:t>
      </w:r>
      <w:r>
        <w:rPr>
          <w:b/>
        </w:rPr>
        <w:t>)</w:t>
      </w:r>
      <w:r w:rsidR="00EC06AA">
        <w:rPr>
          <w:b/>
        </w:rPr>
        <w:t>, § 60 odst. 1 písm. e) a f), § 60 odst. 1 písm. f)</w:t>
      </w:r>
      <w:r w:rsidR="006D390A">
        <w:rPr>
          <w:b/>
        </w:rPr>
        <w:t xml:space="preserve"> a k)</w:t>
      </w:r>
      <w:r w:rsidR="00EC06AA">
        <w:rPr>
          <w:b/>
        </w:rPr>
        <w:t xml:space="preserve"> a § 60 odst. 2 písm. e) a f))</w:t>
      </w:r>
    </w:p>
    <w:p w:rsidR="00C1070B" w:rsidRDefault="00C1070B" w:rsidP="004344BA">
      <w:pPr>
        <w:jc w:val="both"/>
        <w:rPr>
          <w:b/>
        </w:rPr>
      </w:pPr>
    </w:p>
    <w:p w:rsidR="00C1070B" w:rsidRDefault="00C1070B" w:rsidP="004344BA">
      <w:pPr>
        <w:jc w:val="both"/>
      </w:pPr>
      <w:r w:rsidRPr="00C1070B">
        <w:t xml:space="preserve">Navrhovaná změna souvisí s využitím diskrece v čl. 8 odst. 6 směrnice 2013/34/EU. </w:t>
      </w:r>
      <w:r w:rsidR="006C76AE">
        <w:t>Podle n</w:t>
      </w:r>
      <w:r w:rsidRPr="00C1070B">
        <w:t xml:space="preserve">ově </w:t>
      </w:r>
      <w:r w:rsidR="006C76AE" w:rsidRPr="00C1070B">
        <w:t>navrhovan</w:t>
      </w:r>
      <w:r w:rsidR="006C76AE">
        <w:t>ého</w:t>
      </w:r>
      <w:r w:rsidR="006C76AE" w:rsidRPr="00C1070B">
        <w:t xml:space="preserve"> </w:t>
      </w:r>
      <w:r w:rsidRPr="00C1070B">
        <w:t xml:space="preserve">§ </w:t>
      </w:r>
      <w:r w:rsidR="00757E3D">
        <w:t>4 odst. 7 a 8</w:t>
      </w:r>
      <w:r w:rsidR="00757E3D" w:rsidRPr="00C1070B">
        <w:t xml:space="preserve"> </w:t>
      </w:r>
      <w:r w:rsidR="006C76AE">
        <w:t xml:space="preserve">účetní jednotka </w:t>
      </w:r>
      <w:r w:rsidRPr="00C1070B">
        <w:t xml:space="preserve">použije přímo účinný předpis Evropské unie i pro </w:t>
      </w:r>
      <w:r w:rsidR="00757E3D">
        <w:t>uvádění</w:t>
      </w:r>
      <w:r w:rsidR="00757E3D" w:rsidRPr="00C1070B">
        <w:t xml:space="preserve"> </w:t>
      </w:r>
      <w:r w:rsidRPr="00C1070B">
        <w:t>informací</w:t>
      </w:r>
      <w:r w:rsidR="00757E3D">
        <w:t xml:space="preserve"> v příloze v účetní závěrce</w:t>
      </w:r>
      <w:r w:rsidRPr="00C1070B">
        <w:t xml:space="preserve"> o finančních nástrojích.</w:t>
      </w:r>
    </w:p>
    <w:p w:rsidR="00C1070B" w:rsidRPr="00C1070B" w:rsidRDefault="00C1070B" w:rsidP="004344BA">
      <w:pPr>
        <w:jc w:val="both"/>
      </w:pPr>
    </w:p>
    <w:p w:rsidR="004D322E" w:rsidRDefault="004344BA" w:rsidP="004344BA">
      <w:pPr>
        <w:jc w:val="both"/>
        <w:rPr>
          <w:b/>
        </w:rPr>
      </w:pPr>
      <w:r>
        <w:rPr>
          <w:b/>
        </w:rPr>
        <w:t>K</w:t>
      </w:r>
      <w:r w:rsidR="00DB4926">
        <w:rPr>
          <w:b/>
        </w:rPr>
        <w:t> </w:t>
      </w:r>
      <w:r>
        <w:rPr>
          <w:b/>
        </w:rPr>
        <w:t>bod</w:t>
      </w:r>
      <w:r w:rsidR="00DB4926">
        <w:rPr>
          <w:b/>
        </w:rPr>
        <w:t>ům 3</w:t>
      </w:r>
      <w:r w:rsidR="00F35A67">
        <w:rPr>
          <w:b/>
        </w:rPr>
        <w:t>7</w:t>
      </w:r>
      <w:r w:rsidR="00DB4926">
        <w:rPr>
          <w:b/>
        </w:rPr>
        <w:t xml:space="preserve">, </w:t>
      </w:r>
      <w:r w:rsidR="002D5BB3">
        <w:rPr>
          <w:b/>
        </w:rPr>
        <w:t>4</w:t>
      </w:r>
      <w:r w:rsidR="00F35A67">
        <w:rPr>
          <w:b/>
        </w:rPr>
        <w:t>8</w:t>
      </w:r>
      <w:r w:rsidR="00DB4926">
        <w:rPr>
          <w:b/>
        </w:rPr>
        <w:t xml:space="preserve">, </w:t>
      </w:r>
      <w:r w:rsidR="00885F5F">
        <w:rPr>
          <w:b/>
        </w:rPr>
        <w:t>6</w:t>
      </w:r>
      <w:r w:rsidR="00F35A67">
        <w:rPr>
          <w:b/>
        </w:rPr>
        <w:t>7</w:t>
      </w:r>
      <w:r w:rsidR="00FC02F5">
        <w:rPr>
          <w:b/>
        </w:rPr>
        <w:t xml:space="preserve"> </w:t>
      </w:r>
      <w:r w:rsidR="00DB4926">
        <w:rPr>
          <w:b/>
        </w:rPr>
        <w:t xml:space="preserve">a </w:t>
      </w:r>
      <w:r w:rsidR="00885F5F">
        <w:rPr>
          <w:b/>
        </w:rPr>
        <w:t>6</w:t>
      </w:r>
      <w:r w:rsidR="00F35A67">
        <w:rPr>
          <w:b/>
        </w:rPr>
        <w:t>8</w:t>
      </w:r>
      <w:r>
        <w:rPr>
          <w:b/>
        </w:rPr>
        <w:tab/>
        <w:t xml:space="preserve">(§ </w:t>
      </w:r>
      <w:r w:rsidR="00C1070B">
        <w:rPr>
          <w:b/>
        </w:rPr>
        <w:t>54</w:t>
      </w:r>
      <w:r>
        <w:rPr>
          <w:b/>
        </w:rPr>
        <w:t xml:space="preserve"> odst. 1</w:t>
      </w:r>
      <w:r w:rsidR="00C1070B">
        <w:rPr>
          <w:b/>
        </w:rPr>
        <w:t xml:space="preserve"> písm. </w:t>
      </w:r>
      <w:r w:rsidR="004D322E">
        <w:rPr>
          <w:b/>
        </w:rPr>
        <w:t>e)</w:t>
      </w:r>
      <w:r w:rsidR="006337BE">
        <w:rPr>
          <w:b/>
        </w:rPr>
        <w:t>,</w:t>
      </w:r>
      <w:r w:rsidR="004D322E">
        <w:rPr>
          <w:b/>
        </w:rPr>
        <w:t xml:space="preserve"> § 60 odst. 2 písm. c)</w:t>
      </w:r>
      <w:r w:rsidR="006337BE">
        <w:rPr>
          <w:b/>
        </w:rPr>
        <w:t xml:space="preserve"> a příloha č. 4 body 21 a 24</w:t>
      </w:r>
      <w:r>
        <w:rPr>
          <w:b/>
        </w:rPr>
        <w:t>)</w:t>
      </w:r>
    </w:p>
    <w:p w:rsidR="004D322E" w:rsidRDefault="004D322E" w:rsidP="004344BA">
      <w:pPr>
        <w:jc w:val="both"/>
        <w:rPr>
          <w:b/>
        </w:rPr>
      </w:pPr>
    </w:p>
    <w:p w:rsidR="004D322E" w:rsidRPr="004D322E" w:rsidRDefault="004D322E" w:rsidP="004344BA">
      <w:pPr>
        <w:jc w:val="both"/>
      </w:pPr>
      <w:r w:rsidRPr="004D322E">
        <w:t>Navrhovaná úprava reaguje na zrušení kategorizace pohledávek</w:t>
      </w:r>
      <w:r w:rsidR="003112A3">
        <w:t xml:space="preserve"> </w:t>
      </w:r>
      <w:r w:rsidR="0031118E">
        <w:t>po</w:t>
      </w:r>
      <w:r w:rsidR="003112A3">
        <w:t>dle vyhlášky č. 163/2014 Sb.</w:t>
      </w:r>
      <w:r w:rsidR="00361780">
        <w:t>,</w:t>
      </w:r>
      <w:r w:rsidR="00361780" w:rsidRPr="00361780">
        <w:t xml:space="preserve"> o výkonu činnosti bank, spořitelních a úvěrních družstev a obchodníků s cennými papíry</w:t>
      </w:r>
      <w:r w:rsidR="00361780">
        <w:t>,</w:t>
      </w:r>
      <w:r w:rsidR="003112A3">
        <w:t xml:space="preserve"> ve vazbě na změny vyvolané aplikací IFRS 9</w:t>
      </w:r>
      <w:r w:rsidRPr="004D322E">
        <w:t>.</w:t>
      </w:r>
      <w:r w:rsidR="003112A3">
        <w:t xml:space="preserve"> Záměr je opustit stávající lokální úpravu kategorizace pohledávek (standardní, sledované, nestandardní, pochybné a ztrátové) a kategorizaci pohledávek navázat přímo </w:t>
      </w:r>
      <w:r w:rsidR="00D56C04">
        <w:t>na</w:t>
      </w:r>
      <w:r w:rsidR="00F5598B">
        <w:t xml:space="preserve"> nařízení </w:t>
      </w:r>
      <w:r w:rsidR="007F1AE9">
        <w:t>(EU) č. 680/2014</w:t>
      </w:r>
      <w:r w:rsidR="00D1370F">
        <w:t>,</w:t>
      </w:r>
      <w:r w:rsidR="00D1370F" w:rsidRPr="00D1370F">
        <w:t xml:space="preserve"> ze dne 16. dubna 2014, kterým se stanoví prováděcí technické normy, pokud jde o podávání zpráv institucí pro účely dohledu podle nařízení Evropského parlamentu a Rady (EU) č. 575/2013</w:t>
      </w:r>
      <w:r w:rsidR="007F1AE9">
        <w:t>,</w:t>
      </w:r>
      <w:r w:rsidR="00F5598B" w:rsidRPr="00F5598B">
        <w:rPr>
          <w:rFonts w:ascii="Arial" w:hAnsi="Arial" w:cs="Arial"/>
          <w:color w:val="303A40"/>
          <w:sz w:val="18"/>
          <w:szCs w:val="18"/>
        </w:rPr>
        <w:t xml:space="preserve"> </w:t>
      </w:r>
      <w:r w:rsidR="00D56C04">
        <w:t xml:space="preserve">platné </w:t>
      </w:r>
      <w:r w:rsidR="003112A3">
        <w:t xml:space="preserve">od </w:t>
      </w:r>
      <w:r w:rsidR="0039094F">
        <w:t>1. 1. 2018</w:t>
      </w:r>
      <w:r w:rsidR="003112A3">
        <w:t xml:space="preserve">, </w:t>
      </w:r>
      <w:r w:rsidR="00D56C04">
        <w:t xml:space="preserve">které </w:t>
      </w:r>
      <w:r w:rsidR="003112A3">
        <w:t>vazbu na IFRS 9 obsahuje.</w:t>
      </w:r>
    </w:p>
    <w:p w:rsidR="004D322E" w:rsidRPr="004D322E" w:rsidRDefault="004D322E" w:rsidP="004344BA">
      <w:pPr>
        <w:jc w:val="both"/>
      </w:pPr>
    </w:p>
    <w:p w:rsidR="004344BA" w:rsidRDefault="004344BA" w:rsidP="004344BA">
      <w:pPr>
        <w:jc w:val="both"/>
        <w:rPr>
          <w:b/>
        </w:rPr>
      </w:pPr>
      <w:r>
        <w:rPr>
          <w:b/>
        </w:rPr>
        <w:t>K</w:t>
      </w:r>
      <w:r w:rsidR="00D56767">
        <w:rPr>
          <w:b/>
        </w:rPr>
        <w:t> </w:t>
      </w:r>
      <w:r>
        <w:rPr>
          <w:b/>
        </w:rPr>
        <w:t>bod</w:t>
      </w:r>
      <w:r w:rsidR="00D647B9">
        <w:rPr>
          <w:b/>
        </w:rPr>
        <w:t>ům</w:t>
      </w:r>
      <w:r w:rsidR="00D56767">
        <w:rPr>
          <w:b/>
        </w:rPr>
        <w:t xml:space="preserve"> </w:t>
      </w:r>
      <w:r w:rsidR="00885F5F">
        <w:rPr>
          <w:b/>
        </w:rPr>
        <w:t>4</w:t>
      </w:r>
      <w:r w:rsidR="00F35A67">
        <w:rPr>
          <w:b/>
        </w:rPr>
        <w:t>2</w:t>
      </w:r>
      <w:r w:rsidR="00D56767">
        <w:rPr>
          <w:b/>
        </w:rPr>
        <w:t>,</w:t>
      </w:r>
      <w:r w:rsidR="00A9197A">
        <w:rPr>
          <w:b/>
        </w:rPr>
        <w:t xml:space="preserve"> </w:t>
      </w:r>
      <w:r w:rsidR="00885F5F">
        <w:rPr>
          <w:b/>
        </w:rPr>
        <w:t>4</w:t>
      </w:r>
      <w:r w:rsidR="00F35A67">
        <w:rPr>
          <w:b/>
        </w:rPr>
        <w:t>5</w:t>
      </w:r>
      <w:r w:rsidR="00D56767">
        <w:rPr>
          <w:b/>
        </w:rPr>
        <w:t>,</w:t>
      </w:r>
      <w:r w:rsidR="00A9197A">
        <w:rPr>
          <w:b/>
        </w:rPr>
        <w:t xml:space="preserve"> </w:t>
      </w:r>
      <w:r w:rsidR="00885F5F">
        <w:rPr>
          <w:b/>
        </w:rPr>
        <w:t>4</w:t>
      </w:r>
      <w:r w:rsidR="00F35A67">
        <w:rPr>
          <w:b/>
        </w:rPr>
        <w:t>9</w:t>
      </w:r>
      <w:r w:rsidR="004612A5">
        <w:rPr>
          <w:b/>
        </w:rPr>
        <w:t>,</w:t>
      </w:r>
      <w:r w:rsidR="00A9197A">
        <w:rPr>
          <w:b/>
        </w:rPr>
        <w:t xml:space="preserve"> </w:t>
      </w:r>
      <w:r w:rsidR="00885F5F">
        <w:rPr>
          <w:b/>
        </w:rPr>
        <w:t>6</w:t>
      </w:r>
      <w:r w:rsidR="00F16DCE">
        <w:rPr>
          <w:b/>
        </w:rPr>
        <w:t>6</w:t>
      </w:r>
      <w:r w:rsidR="004612A5">
        <w:rPr>
          <w:b/>
        </w:rPr>
        <w:t xml:space="preserve">, </w:t>
      </w:r>
      <w:r w:rsidR="00F16DCE">
        <w:rPr>
          <w:b/>
        </w:rPr>
        <w:t>71</w:t>
      </w:r>
      <w:r w:rsidR="004612A5">
        <w:rPr>
          <w:b/>
        </w:rPr>
        <w:t xml:space="preserve"> a 7</w:t>
      </w:r>
      <w:r w:rsidR="00F16DCE">
        <w:rPr>
          <w:b/>
        </w:rPr>
        <w:t>2</w:t>
      </w:r>
      <w:r w:rsidR="005E38E7">
        <w:rPr>
          <w:b/>
        </w:rPr>
        <w:tab/>
      </w:r>
      <w:r>
        <w:rPr>
          <w:b/>
        </w:rPr>
        <w:t xml:space="preserve">(§ </w:t>
      </w:r>
      <w:r w:rsidR="004D322E">
        <w:rPr>
          <w:b/>
        </w:rPr>
        <w:t>54</w:t>
      </w:r>
      <w:r>
        <w:rPr>
          <w:b/>
        </w:rPr>
        <w:t xml:space="preserve"> odst. </w:t>
      </w:r>
      <w:r w:rsidR="004D322E">
        <w:rPr>
          <w:b/>
        </w:rPr>
        <w:t>3 písm. d)</w:t>
      </w:r>
      <w:r w:rsidR="0031118E">
        <w:rPr>
          <w:b/>
        </w:rPr>
        <w:t xml:space="preserve"> a e)</w:t>
      </w:r>
      <w:r w:rsidR="000D2EBB">
        <w:rPr>
          <w:b/>
        </w:rPr>
        <w:t>,</w:t>
      </w:r>
      <w:r w:rsidR="004D322E">
        <w:rPr>
          <w:b/>
        </w:rPr>
        <w:t xml:space="preserve"> § 60 odst. 1 písm. h)</w:t>
      </w:r>
      <w:r w:rsidR="006337BE">
        <w:rPr>
          <w:b/>
        </w:rPr>
        <w:t>,</w:t>
      </w:r>
      <w:r w:rsidR="000D2EBB">
        <w:rPr>
          <w:b/>
        </w:rPr>
        <w:t xml:space="preserve"> § 60 odst. 2 písm. g)</w:t>
      </w:r>
      <w:r w:rsidR="004612A5">
        <w:rPr>
          <w:b/>
        </w:rPr>
        <w:t>,</w:t>
      </w:r>
      <w:r w:rsidR="006337BE">
        <w:rPr>
          <w:b/>
        </w:rPr>
        <w:t xml:space="preserve"> příloha č. 2 body 20 až 22</w:t>
      </w:r>
      <w:r w:rsidR="004612A5">
        <w:rPr>
          <w:b/>
        </w:rPr>
        <w:t xml:space="preserve"> a příloha č. 4</w:t>
      </w:r>
      <w:r>
        <w:rPr>
          <w:b/>
        </w:rPr>
        <w:t>)</w:t>
      </w:r>
    </w:p>
    <w:p w:rsidR="004D322E" w:rsidRDefault="004D322E" w:rsidP="004344BA">
      <w:pPr>
        <w:jc w:val="both"/>
        <w:rPr>
          <w:b/>
        </w:rPr>
      </w:pPr>
    </w:p>
    <w:p w:rsidR="004D322E" w:rsidRDefault="004D322E" w:rsidP="004344BA">
      <w:pPr>
        <w:jc w:val="both"/>
      </w:pPr>
      <w:r w:rsidRPr="004D322E">
        <w:t>Navrhuje se, v souvislosti s vymezením obsahu, uspořádání a označení výkazu zisku a ztráty podle směrnice 2013/34/EU</w:t>
      </w:r>
      <w:r w:rsidR="0031118E">
        <w:t>,</w:t>
      </w:r>
      <w:r w:rsidRPr="004D322E">
        <w:t xml:space="preserve"> zrušení položek "20. Mimořádné výnosy" a "21. Mimořádné náklady".</w:t>
      </w:r>
    </w:p>
    <w:p w:rsidR="009B6A21" w:rsidRDefault="009B6A21" w:rsidP="009B6A21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9B6A21" w:rsidRDefault="009B6A21" w:rsidP="009B6A21">
      <w:pPr>
        <w:widowControl w:val="0"/>
        <w:autoSpaceDE w:val="0"/>
        <w:autoSpaceDN w:val="0"/>
        <w:adjustRightInd w:val="0"/>
        <w:jc w:val="both"/>
      </w:pPr>
      <w:r w:rsidRPr="00A8305D">
        <w:t>Dále se navrhuje vypuštění písmen</w:t>
      </w:r>
      <w:r w:rsidR="00DE6BCC">
        <w:t>e</w:t>
      </w:r>
      <w:r w:rsidRPr="00A8305D">
        <w:t xml:space="preserve"> e) v § 54 odst. 3 z důvodu duplicity. Jedná se o stejný požadavek, který je již zaveden v § 60 odst. 1 písm. i). </w:t>
      </w:r>
    </w:p>
    <w:p w:rsidR="000D2EBB" w:rsidRPr="000D2EBB" w:rsidRDefault="000D2EBB" w:rsidP="000D2EBB">
      <w:pPr>
        <w:jc w:val="both"/>
      </w:pPr>
    </w:p>
    <w:p w:rsidR="0076594F" w:rsidRDefault="0076594F" w:rsidP="000D2EBB">
      <w:pPr>
        <w:jc w:val="both"/>
        <w:rPr>
          <w:b/>
        </w:rPr>
      </w:pPr>
      <w:r>
        <w:rPr>
          <w:b/>
        </w:rPr>
        <w:t xml:space="preserve">K bodu </w:t>
      </w:r>
      <w:r w:rsidR="00885F5F">
        <w:rPr>
          <w:b/>
        </w:rPr>
        <w:t>5</w:t>
      </w:r>
      <w:r w:rsidR="00F16DCE">
        <w:rPr>
          <w:b/>
        </w:rPr>
        <w:t>2</w:t>
      </w:r>
      <w:r>
        <w:rPr>
          <w:b/>
        </w:rPr>
        <w:tab/>
        <w:t>(§ 72)</w:t>
      </w:r>
    </w:p>
    <w:p w:rsidR="0076594F" w:rsidRDefault="0076594F" w:rsidP="000D2EBB">
      <w:pPr>
        <w:jc w:val="both"/>
        <w:rPr>
          <w:b/>
        </w:rPr>
      </w:pPr>
    </w:p>
    <w:p w:rsidR="0076594F" w:rsidRPr="00885F5F" w:rsidRDefault="00A94238" w:rsidP="000D2EBB">
      <w:pPr>
        <w:jc w:val="both"/>
      </w:pPr>
      <w:r w:rsidRPr="00885F5F">
        <w:lastRenderedPageBreak/>
        <w:t xml:space="preserve">Navrhované doplnění textu </w:t>
      </w:r>
      <w:r w:rsidR="0076594F" w:rsidRPr="00885F5F">
        <w:t>reflektuje skutečnost, že pohledávky mohou být drženy k</w:t>
      </w:r>
      <w:r>
        <w:t> </w:t>
      </w:r>
      <w:r w:rsidR="0076594F" w:rsidRPr="00885F5F">
        <w:t>obchodování</w:t>
      </w:r>
      <w:r w:rsidRPr="00885F5F">
        <w:t>.</w:t>
      </w:r>
      <w:r>
        <w:t xml:space="preserve"> Finanční aktiva určená pouze k prodeji se podle bodu B4.1.5 IFRS 9 oceňují reálnou hodnotou proti účtům výnosů a nákladů. Tato finanční aktiva nejsou dále podle bodu 5.1.1 IFRS 9 snižována nebo zvyšována o transakční náklady</w:t>
      </w:r>
      <w:r w:rsidR="00345763">
        <w:t>, které přímo souvisejí s pořízením nebo vydáním finančního aktiva</w:t>
      </w:r>
      <w:r>
        <w:t xml:space="preserve">.   </w:t>
      </w:r>
    </w:p>
    <w:p w:rsidR="0076594F" w:rsidRDefault="0076594F" w:rsidP="000D2EBB">
      <w:pPr>
        <w:jc w:val="both"/>
        <w:rPr>
          <w:b/>
        </w:rPr>
      </w:pPr>
    </w:p>
    <w:p w:rsidR="000D2EBB" w:rsidRDefault="000D2EBB" w:rsidP="000D2EBB">
      <w:pPr>
        <w:jc w:val="both"/>
        <w:rPr>
          <w:b/>
        </w:rPr>
      </w:pPr>
      <w:r>
        <w:rPr>
          <w:b/>
        </w:rPr>
        <w:t>K</w:t>
      </w:r>
      <w:r w:rsidR="00D56767">
        <w:rPr>
          <w:b/>
        </w:rPr>
        <w:t> </w:t>
      </w:r>
      <w:r>
        <w:rPr>
          <w:b/>
        </w:rPr>
        <w:t>bodu</w:t>
      </w:r>
      <w:r w:rsidR="00D56767">
        <w:rPr>
          <w:b/>
        </w:rPr>
        <w:t xml:space="preserve"> </w:t>
      </w:r>
      <w:r w:rsidR="00885F5F">
        <w:rPr>
          <w:b/>
        </w:rPr>
        <w:t>5</w:t>
      </w:r>
      <w:r w:rsidR="00F16DCE">
        <w:rPr>
          <w:b/>
        </w:rPr>
        <w:t>4</w:t>
      </w:r>
      <w:r>
        <w:rPr>
          <w:b/>
        </w:rPr>
        <w:tab/>
        <w:t>(§ 74 odst. 2)</w:t>
      </w:r>
    </w:p>
    <w:p w:rsidR="000D2EBB" w:rsidRDefault="000D2EBB" w:rsidP="000D2EBB">
      <w:pPr>
        <w:jc w:val="both"/>
        <w:rPr>
          <w:b/>
        </w:rPr>
      </w:pPr>
    </w:p>
    <w:p w:rsidR="000D2EBB" w:rsidRDefault="000D2EBB" w:rsidP="000D2EBB">
      <w:pPr>
        <w:jc w:val="both"/>
      </w:pPr>
      <w:r w:rsidRPr="000D2EBB">
        <w:t xml:space="preserve">V IFRS 9 jsou všechny akcie, podílové listy a ostatní podíly oceňovány reálnou hodnotou. V případě volby </w:t>
      </w:r>
      <w:r w:rsidR="00AD0A89">
        <w:t>způsobu ocenění</w:t>
      </w:r>
      <w:r w:rsidR="00AD0A89" w:rsidRPr="000D2EBB">
        <w:t xml:space="preserve"> </w:t>
      </w:r>
      <w:r w:rsidRPr="000D2EBB">
        <w:t xml:space="preserve">v reálné hodnotě do vlastního kapitálu není možné tvořit opravné položky, protože přecenění se </w:t>
      </w:r>
      <w:r w:rsidR="00AD0A89">
        <w:t xml:space="preserve">následně (při realizaci cenného papíru) </w:t>
      </w:r>
      <w:r w:rsidRPr="000D2EBB">
        <w:t>nepromítne do výsledku hospodaření a zůstane v</w:t>
      </w:r>
      <w:r w:rsidR="00AD0A89">
        <w:t>ykázáno ve vlastním kapitálu</w:t>
      </w:r>
      <w:r w:rsidRPr="000D2EBB">
        <w:t>.</w:t>
      </w:r>
    </w:p>
    <w:p w:rsidR="000D2EBB" w:rsidRPr="000D2EBB" w:rsidRDefault="000D2EBB" w:rsidP="000D2EBB">
      <w:pPr>
        <w:jc w:val="both"/>
      </w:pPr>
    </w:p>
    <w:p w:rsidR="001E34C7" w:rsidRDefault="001E34C7" w:rsidP="000D2EBB">
      <w:pPr>
        <w:jc w:val="both"/>
        <w:rPr>
          <w:b/>
        </w:rPr>
      </w:pPr>
      <w:r>
        <w:rPr>
          <w:b/>
        </w:rPr>
        <w:t>K bodu 5</w:t>
      </w:r>
      <w:r w:rsidR="00F16DCE">
        <w:rPr>
          <w:b/>
        </w:rPr>
        <w:t>5</w:t>
      </w:r>
      <w:r>
        <w:rPr>
          <w:b/>
        </w:rPr>
        <w:tab/>
        <w:t>(§ 74 odst. 4)</w:t>
      </w:r>
    </w:p>
    <w:p w:rsidR="001E34C7" w:rsidRDefault="001E34C7" w:rsidP="000D2EBB">
      <w:pPr>
        <w:jc w:val="both"/>
        <w:rPr>
          <w:b/>
        </w:rPr>
      </w:pPr>
    </w:p>
    <w:p w:rsidR="001E34C7" w:rsidRPr="001E34C7" w:rsidRDefault="001E34C7" w:rsidP="000D2EBB">
      <w:pPr>
        <w:jc w:val="both"/>
      </w:pPr>
      <w:r>
        <w:t>Navrhované</w:t>
      </w:r>
      <w:r w:rsidRPr="001E34C7">
        <w:t xml:space="preserve"> </w:t>
      </w:r>
      <w:r>
        <w:t xml:space="preserve">doplnění zvyšuje právní jistotu dotčených účetních jednotek. </w:t>
      </w:r>
    </w:p>
    <w:p w:rsidR="001E34C7" w:rsidRDefault="001E34C7" w:rsidP="000D2EBB">
      <w:pPr>
        <w:jc w:val="both"/>
        <w:rPr>
          <w:b/>
        </w:rPr>
      </w:pPr>
    </w:p>
    <w:p w:rsidR="000D2EBB" w:rsidRDefault="000D2EBB" w:rsidP="000D2EBB">
      <w:pPr>
        <w:jc w:val="both"/>
        <w:rPr>
          <w:b/>
        </w:rPr>
      </w:pPr>
      <w:r>
        <w:rPr>
          <w:b/>
        </w:rPr>
        <w:t>K</w:t>
      </w:r>
      <w:r w:rsidR="00D56767">
        <w:rPr>
          <w:b/>
        </w:rPr>
        <w:t> </w:t>
      </w:r>
      <w:r>
        <w:rPr>
          <w:b/>
        </w:rPr>
        <w:t>bodu</w:t>
      </w:r>
      <w:r w:rsidR="00D56767">
        <w:rPr>
          <w:b/>
        </w:rPr>
        <w:t xml:space="preserve"> </w:t>
      </w:r>
      <w:r w:rsidR="001E34C7">
        <w:rPr>
          <w:b/>
        </w:rPr>
        <w:t>5</w:t>
      </w:r>
      <w:r w:rsidR="00F16DCE">
        <w:rPr>
          <w:b/>
        </w:rPr>
        <w:t>6</w:t>
      </w:r>
      <w:r>
        <w:rPr>
          <w:b/>
        </w:rPr>
        <w:tab/>
        <w:t>(§ 76 odst. 1)</w:t>
      </w:r>
    </w:p>
    <w:p w:rsidR="000D2EBB" w:rsidRDefault="000D2EBB" w:rsidP="000D2EBB">
      <w:pPr>
        <w:jc w:val="both"/>
        <w:rPr>
          <w:b/>
        </w:rPr>
      </w:pPr>
    </w:p>
    <w:p w:rsidR="000D2EBB" w:rsidRDefault="000D2EBB" w:rsidP="000D2EBB">
      <w:pPr>
        <w:jc w:val="both"/>
      </w:pPr>
      <w:r w:rsidRPr="000D2EBB">
        <w:t>Navrhovaná změna souvisí se sjednocením terminologie s § 26 odst. 3 zákona o účetnictví.</w:t>
      </w:r>
    </w:p>
    <w:p w:rsidR="000D2EBB" w:rsidRPr="000D2EBB" w:rsidRDefault="000D2EBB" w:rsidP="000D2EBB">
      <w:pPr>
        <w:jc w:val="both"/>
      </w:pPr>
    </w:p>
    <w:p w:rsidR="00D56767" w:rsidRDefault="00D56767" w:rsidP="00D56767">
      <w:pPr>
        <w:jc w:val="both"/>
        <w:rPr>
          <w:b/>
        </w:rPr>
      </w:pPr>
      <w:r>
        <w:rPr>
          <w:b/>
        </w:rPr>
        <w:t>K bod</w:t>
      </w:r>
      <w:r w:rsidR="009A6893">
        <w:rPr>
          <w:b/>
        </w:rPr>
        <w:t>ům</w:t>
      </w:r>
      <w:r>
        <w:rPr>
          <w:b/>
        </w:rPr>
        <w:t xml:space="preserve"> </w:t>
      </w:r>
      <w:r w:rsidR="001E34C7">
        <w:rPr>
          <w:b/>
        </w:rPr>
        <w:t>5</w:t>
      </w:r>
      <w:r w:rsidR="00F16DCE">
        <w:rPr>
          <w:b/>
        </w:rPr>
        <w:t>7</w:t>
      </w:r>
      <w:r w:rsidR="009A6893">
        <w:rPr>
          <w:b/>
        </w:rPr>
        <w:t xml:space="preserve"> a </w:t>
      </w:r>
      <w:r w:rsidR="00A9197A">
        <w:rPr>
          <w:b/>
        </w:rPr>
        <w:t>5</w:t>
      </w:r>
      <w:r w:rsidR="00F16DCE">
        <w:rPr>
          <w:b/>
        </w:rPr>
        <w:t>8</w:t>
      </w:r>
      <w:r>
        <w:rPr>
          <w:b/>
        </w:rPr>
        <w:tab/>
        <w:t>(</w:t>
      </w:r>
      <w:r w:rsidR="009A6893">
        <w:rPr>
          <w:b/>
        </w:rPr>
        <w:t xml:space="preserve">§ 79 odst. 1 a </w:t>
      </w:r>
      <w:r>
        <w:rPr>
          <w:b/>
        </w:rPr>
        <w:t>§ 79 odst. 2)</w:t>
      </w:r>
    </w:p>
    <w:p w:rsidR="00D56767" w:rsidRDefault="00D56767" w:rsidP="000D2EBB">
      <w:pPr>
        <w:jc w:val="both"/>
        <w:rPr>
          <w:b/>
        </w:rPr>
      </w:pPr>
    </w:p>
    <w:p w:rsidR="009C1A8A" w:rsidRDefault="009C1A8A" w:rsidP="009C1A8A">
      <w:pPr>
        <w:jc w:val="both"/>
      </w:pPr>
      <w:r w:rsidRPr="001F5484">
        <w:t>Účetní jednotka aplikuje IAS 21 na finanční aktiva a finanční závazky, které jsou peněžními položkami v souladu s</w:t>
      </w:r>
      <w:r w:rsidR="0049278A" w:rsidRPr="001F5484">
        <w:t xml:space="preserve"> IFRS 9 </w:t>
      </w:r>
      <w:r w:rsidRPr="001F5484">
        <w:t xml:space="preserve">a jsou vyjádřené v cizí měně. IAS 21 vyžaduje, aby se veškeré kurzové zisky a ztráty z peněžních aktiv a peněžních </w:t>
      </w:r>
      <w:r w:rsidRPr="00B938EE">
        <w:t xml:space="preserve">závazků vykazovaly do </w:t>
      </w:r>
      <w:r w:rsidR="007C4712">
        <w:t>výnosů nebo nákladů</w:t>
      </w:r>
      <w:r w:rsidRPr="00B938EE">
        <w:t xml:space="preserve">. Výjimkou je peněžní položka, která slouží jako zajišťovací nástroj při zajištění peněžních toků, při zajištění čistých investic nebo při zajištění reálné hodnoty kapitálového nástroje, u nějž se účetní jednotka rozhodla vykazovat změny v reálné hodnotě </w:t>
      </w:r>
      <w:r w:rsidR="007C4712">
        <w:t>ve vlastním kapitálu</w:t>
      </w:r>
      <w:r w:rsidRPr="00B938EE">
        <w:t>.</w:t>
      </w:r>
    </w:p>
    <w:p w:rsidR="00F1016B" w:rsidRDefault="00F1016B" w:rsidP="009C1A8A">
      <w:pPr>
        <w:jc w:val="both"/>
      </w:pPr>
    </w:p>
    <w:p w:rsidR="00F1016B" w:rsidRDefault="00F1016B" w:rsidP="00F1016B">
      <w:pPr>
        <w:jc w:val="both"/>
      </w:pPr>
      <w:r w:rsidRPr="00F1016B">
        <w:t xml:space="preserve">Pro účely zaúčtování kurzových zisků a ztrát podle IAS 21 se k finančnímu aktivu oceněnému reálnou hodnotou do </w:t>
      </w:r>
      <w:r w:rsidR="007C4712">
        <w:t>vlastního kapitálu</w:t>
      </w:r>
      <w:r w:rsidRPr="00F1016B">
        <w:t xml:space="preserve"> přistupuje jako k peněžní položce. V souladu s tím se k takovému finančnímu aktivu přistupuje jako k aktivu oceněnému naběhlou hodnotou v cizí měně. Kurzové rozdíly u naběhlé hodnoty jsou zaúčtovány do </w:t>
      </w:r>
      <w:r w:rsidR="007C4712">
        <w:t>výnosů nebo nákladů</w:t>
      </w:r>
      <w:r w:rsidR="00D56C04">
        <w:t xml:space="preserve">, </w:t>
      </w:r>
      <w:r w:rsidR="00F25420">
        <w:t>ostatní zisky nebo ztráty z finančního aktiva</w:t>
      </w:r>
      <w:r w:rsidR="00F25420" w:rsidRPr="00F1016B">
        <w:t xml:space="preserve"> </w:t>
      </w:r>
      <w:r w:rsidRPr="00F1016B">
        <w:t>jsou zaúčtovány</w:t>
      </w:r>
      <w:r w:rsidRPr="00F1016B">
        <w:rPr>
          <w:lang w:val="pl-PL"/>
        </w:rPr>
        <w:t xml:space="preserve"> </w:t>
      </w:r>
      <w:r w:rsidRPr="0069252A">
        <w:rPr>
          <w:lang w:val="pl-PL"/>
        </w:rPr>
        <w:t>v souladu s odstavcem 5.7.10</w:t>
      </w:r>
      <w:r>
        <w:rPr>
          <w:lang w:val="pl-PL"/>
        </w:rPr>
        <w:t xml:space="preserve"> IFRS 9</w:t>
      </w:r>
      <w:r w:rsidRPr="00F1016B">
        <w:t xml:space="preserve">. </w:t>
      </w:r>
    </w:p>
    <w:p w:rsidR="00E25F4A" w:rsidRDefault="00E25F4A" w:rsidP="00F1016B">
      <w:pPr>
        <w:jc w:val="both"/>
      </w:pPr>
    </w:p>
    <w:p w:rsidR="00E25F4A" w:rsidRPr="00F1016B" w:rsidRDefault="00E25F4A" w:rsidP="00F1016B">
      <w:pPr>
        <w:jc w:val="both"/>
      </w:pPr>
      <w:r w:rsidRPr="00E25F4A">
        <w:t>IFRS 9 se vztahuje na zajišťovací účetnictví pro položky</w:t>
      </w:r>
      <w:r w:rsidR="007C4712">
        <w:t xml:space="preserve"> vyjádřené</w:t>
      </w:r>
      <w:r w:rsidRPr="00E25F4A">
        <w:t xml:space="preserve"> v cizí </w:t>
      </w:r>
      <w:r w:rsidR="007C4712" w:rsidRPr="00E25F4A">
        <w:t>měn</w:t>
      </w:r>
      <w:r w:rsidR="007C4712">
        <w:t>ě</w:t>
      </w:r>
      <w:r w:rsidRPr="00E25F4A">
        <w:t>. Aplikace zajišťovacího účetnictví požaduje od účetní jednotky, aby účtovala o některých kurzových rozdílech odlišně od řešení kurzových rozdílů, na které se vztahuje tento standard. IFRS 9 požaduje, aby kurzové rozdíly peněžních položek, které se kvalifikují jako zajišťovací nástroje při zajištění peněžních toků, byly prvotně vykazovány v</w:t>
      </w:r>
      <w:r w:rsidR="007C4712">
        <w:t>e</w:t>
      </w:r>
      <w:r w:rsidRPr="00E25F4A">
        <w:t xml:space="preserve"> </w:t>
      </w:r>
      <w:r w:rsidR="007C4712">
        <w:t>vlastním kapitálu</w:t>
      </w:r>
      <w:r w:rsidRPr="00E25F4A">
        <w:t>, ve kterém je zajištění efektivní.</w:t>
      </w:r>
    </w:p>
    <w:p w:rsidR="001F5484" w:rsidRDefault="001F5484" w:rsidP="009C1A8A">
      <w:pPr>
        <w:jc w:val="both"/>
      </w:pPr>
    </w:p>
    <w:p w:rsidR="001F5484" w:rsidRDefault="009A6CE3" w:rsidP="009C1A8A">
      <w:pPr>
        <w:jc w:val="both"/>
      </w:pPr>
      <w:r>
        <w:t>N</w:t>
      </w:r>
      <w:r w:rsidR="001F5484">
        <w:t>avrhovaná úprava v § 79 odst. 2 uvádí metodu stanovení kurzu pro přepočet č</w:t>
      </w:r>
      <w:r w:rsidR="001F5484" w:rsidRPr="001F5484">
        <w:t>ist</w:t>
      </w:r>
      <w:r w:rsidR="001F5484">
        <w:t>ých</w:t>
      </w:r>
      <w:r w:rsidR="001F5484" w:rsidRPr="001F5484">
        <w:t xml:space="preserve"> investic spojen</w:t>
      </w:r>
      <w:r w:rsidR="001F5484">
        <w:t>ých</w:t>
      </w:r>
      <w:r w:rsidR="001F5484" w:rsidRPr="001F5484">
        <w:t xml:space="preserve"> s cizoměnovými účastmi s rozhodujícím nebo podstatným vlivem </w:t>
      </w:r>
      <w:r w:rsidR="007C4712" w:rsidRPr="001F5484">
        <w:t>vyjádřen</w:t>
      </w:r>
      <w:r w:rsidR="007C4712">
        <w:t>ých</w:t>
      </w:r>
      <w:r w:rsidR="007C4712" w:rsidRPr="001F5484">
        <w:t xml:space="preserve"> </w:t>
      </w:r>
      <w:r w:rsidR="001F5484" w:rsidRPr="001F5484">
        <w:t>v cizí měně</w:t>
      </w:r>
      <w:r w:rsidR="0049381A">
        <w:t>,</w:t>
      </w:r>
      <w:r w:rsidR="00E64869">
        <w:t xml:space="preserve"> tím dochází ke zpřesnění v souladu s názorem regulátora</w:t>
      </w:r>
      <w:r w:rsidR="001F5484">
        <w:t>.</w:t>
      </w:r>
    </w:p>
    <w:p w:rsidR="00126962" w:rsidRDefault="00126962" w:rsidP="009C1A8A">
      <w:pPr>
        <w:jc w:val="both"/>
      </w:pPr>
    </w:p>
    <w:p w:rsidR="00126962" w:rsidRDefault="00126962" w:rsidP="009C1A8A">
      <w:pPr>
        <w:jc w:val="both"/>
        <w:rPr>
          <w:b/>
        </w:rPr>
      </w:pPr>
      <w:r w:rsidRPr="00126962">
        <w:rPr>
          <w:b/>
        </w:rPr>
        <w:t>K bod</w:t>
      </w:r>
      <w:r w:rsidR="00553329">
        <w:rPr>
          <w:b/>
        </w:rPr>
        <w:t>ům</w:t>
      </w:r>
      <w:r w:rsidRPr="00126962">
        <w:rPr>
          <w:b/>
        </w:rPr>
        <w:t xml:space="preserve"> </w:t>
      </w:r>
      <w:r w:rsidR="00F16DCE">
        <w:rPr>
          <w:b/>
        </w:rPr>
        <w:t>61</w:t>
      </w:r>
      <w:r w:rsidR="00553329">
        <w:rPr>
          <w:b/>
        </w:rPr>
        <w:t xml:space="preserve"> a 6</w:t>
      </w:r>
      <w:r w:rsidR="00F16DCE">
        <w:rPr>
          <w:b/>
        </w:rPr>
        <w:t>4</w:t>
      </w:r>
      <w:r>
        <w:rPr>
          <w:b/>
        </w:rPr>
        <w:tab/>
        <w:t>(Příloha č. 1)</w:t>
      </w:r>
    </w:p>
    <w:p w:rsidR="00553329" w:rsidRDefault="00553329" w:rsidP="009C1A8A">
      <w:pPr>
        <w:jc w:val="both"/>
        <w:rPr>
          <w:b/>
        </w:rPr>
      </w:pPr>
    </w:p>
    <w:p w:rsidR="00553329" w:rsidRPr="00553329" w:rsidRDefault="00553329" w:rsidP="009C1A8A">
      <w:pPr>
        <w:jc w:val="both"/>
      </w:pPr>
      <w:r>
        <w:lastRenderedPageBreak/>
        <w:t xml:space="preserve">Cílem navrhované úpravy je doplnit nové položky rozvahy za účelem zvýšení uživatelského komfortu </w:t>
      </w:r>
      <w:r w:rsidR="00D149D3">
        <w:t>uživatelů účetních závěrek.</w:t>
      </w:r>
      <w:r>
        <w:t xml:space="preserve">   </w:t>
      </w:r>
    </w:p>
    <w:p w:rsidR="00126962" w:rsidRDefault="00126962" w:rsidP="009C1A8A">
      <w:pPr>
        <w:jc w:val="both"/>
        <w:rPr>
          <w:b/>
        </w:rPr>
      </w:pPr>
    </w:p>
    <w:p w:rsidR="00126962" w:rsidRDefault="00126962" w:rsidP="00126962">
      <w:pPr>
        <w:jc w:val="both"/>
        <w:rPr>
          <w:b/>
        </w:rPr>
      </w:pPr>
      <w:r w:rsidRPr="00126962">
        <w:rPr>
          <w:b/>
        </w:rPr>
        <w:t xml:space="preserve">K bodu </w:t>
      </w:r>
      <w:r>
        <w:rPr>
          <w:b/>
        </w:rPr>
        <w:t>6</w:t>
      </w:r>
      <w:r w:rsidR="00F16DCE">
        <w:rPr>
          <w:b/>
        </w:rPr>
        <w:t>2</w:t>
      </w:r>
      <w:r>
        <w:rPr>
          <w:b/>
        </w:rPr>
        <w:tab/>
        <w:t>(Příloha č. 1)</w:t>
      </w:r>
    </w:p>
    <w:p w:rsidR="004063B9" w:rsidRDefault="004063B9" w:rsidP="00126962">
      <w:pPr>
        <w:jc w:val="both"/>
        <w:rPr>
          <w:b/>
        </w:rPr>
      </w:pPr>
    </w:p>
    <w:p w:rsidR="004063B9" w:rsidRPr="004063B9" w:rsidRDefault="004063B9" w:rsidP="00126962">
      <w:pPr>
        <w:jc w:val="both"/>
      </w:pPr>
      <w:r w:rsidRPr="004063B9">
        <w:t>Navrhovaná úprava zvyšuje právní jistotu účetních jednotek.</w:t>
      </w:r>
      <w:r>
        <w:t xml:space="preserve"> </w:t>
      </w:r>
      <w:r w:rsidR="00DA5288">
        <w:t>Legislativně technická úprava spočívající ve zpřesnění názvu příslušné položky rozvahy</w:t>
      </w:r>
      <w:r>
        <w:t xml:space="preserve">. </w:t>
      </w:r>
      <w:r w:rsidRPr="004063B9">
        <w:t xml:space="preserve">  </w:t>
      </w:r>
    </w:p>
    <w:p w:rsidR="00126962" w:rsidRDefault="00126962" w:rsidP="009C1A8A">
      <w:pPr>
        <w:jc w:val="both"/>
        <w:rPr>
          <w:b/>
        </w:rPr>
      </w:pPr>
    </w:p>
    <w:p w:rsidR="00126962" w:rsidRPr="00126962" w:rsidRDefault="00126962" w:rsidP="00126962">
      <w:pPr>
        <w:jc w:val="both"/>
        <w:rPr>
          <w:b/>
        </w:rPr>
      </w:pPr>
      <w:r w:rsidRPr="00126962">
        <w:rPr>
          <w:b/>
        </w:rPr>
        <w:t xml:space="preserve">K bodu </w:t>
      </w:r>
      <w:r>
        <w:rPr>
          <w:b/>
        </w:rPr>
        <w:t>6</w:t>
      </w:r>
      <w:r w:rsidR="00F16DCE">
        <w:rPr>
          <w:b/>
        </w:rPr>
        <w:t>3</w:t>
      </w:r>
      <w:r>
        <w:rPr>
          <w:b/>
        </w:rPr>
        <w:tab/>
        <w:t>(Příloha č. 1)</w:t>
      </w:r>
    </w:p>
    <w:p w:rsidR="00126962" w:rsidRDefault="00126962" w:rsidP="009C1A8A">
      <w:pPr>
        <w:jc w:val="both"/>
        <w:rPr>
          <w:b/>
        </w:rPr>
      </w:pPr>
    </w:p>
    <w:p w:rsidR="004063B9" w:rsidRPr="00FE5CCA" w:rsidRDefault="00FE5CCA" w:rsidP="00126962">
      <w:pPr>
        <w:jc w:val="both"/>
      </w:pPr>
      <w:r>
        <w:t>Cílem n</w:t>
      </w:r>
      <w:r w:rsidR="000C032E">
        <w:t>avrhovan</w:t>
      </w:r>
      <w:r>
        <w:t>é</w:t>
      </w:r>
      <w:r w:rsidR="000C032E">
        <w:t xml:space="preserve"> úprav</w:t>
      </w:r>
      <w:r>
        <w:t>y</w:t>
      </w:r>
      <w:r w:rsidR="000C032E">
        <w:t xml:space="preserve"> </w:t>
      </w:r>
      <w:r>
        <w:t xml:space="preserve">je soulad s obsahovým vymezením položky </w:t>
      </w:r>
      <w:r w:rsidRPr="00FE5CCA">
        <w:t>"13. Oceňovací rozdíly"</w:t>
      </w:r>
      <w:r>
        <w:t xml:space="preserve"> v § 29.</w:t>
      </w:r>
      <w:r w:rsidRPr="00FE5CCA">
        <w:t xml:space="preserve"> </w:t>
      </w:r>
    </w:p>
    <w:p w:rsidR="00126962" w:rsidRPr="00126962" w:rsidRDefault="00126962" w:rsidP="009C1A8A">
      <w:pPr>
        <w:jc w:val="both"/>
        <w:rPr>
          <w:b/>
        </w:rPr>
      </w:pPr>
    </w:p>
    <w:p w:rsidR="004344BA" w:rsidRPr="00126962" w:rsidRDefault="004344BA" w:rsidP="0095000A">
      <w:pPr>
        <w:jc w:val="both"/>
        <w:rPr>
          <w:b/>
        </w:rPr>
      </w:pPr>
    </w:p>
    <w:p w:rsidR="003A6FA2" w:rsidRDefault="003A6FA2" w:rsidP="003B03D6">
      <w:pPr>
        <w:jc w:val="center"/>
        <w:rPr>
          <w:b/>
        </w:rPr>
      </w:pPr>
      <w:r>
        <w:rPr>
          <w:b/>
        </w:rPr>
        <w:t>K Čl. II</w:t>
      </w:r>
    </w:p>
    <w:p w:rsidR="006911ED" w:rsidRPr="006911ED" w:rsidRDefault="006911ED" w:rsidP="009C36B5">
      <w:pPr>
        <w:jc w:val="both"/>
        <w:rPr>
          <w:b/>
        </w:rPr>
      </w:pPr>
    </w:p>
    <w:p w:rsidR="009273BB" w:rsidRDefault="003A6FA2" w:rsidP="00D8163B">
      <w:pPr>
        <w:jc w:val="both"/>
      </w:pPr>
      <w:r>
        <w:t>Navrhuje se standardní přechodné ustanovení.</w:t>
      </w:r>
      <w:r w:rsidR="009273BB">
        <w:t xml:space="preserve"> </w:t>
      </w:r>
    </w:p>
    <w:p w:rsidR="009273BB" w:rsidRDefault="009273BB" w:rsidP="009273BB">
      <w:pPr>
        <w:ind w:left="720"/>
        <w:jc w:val="both"/>
      </w:pPr>
    </w:p>
    <w:p w:rsidR="003A6FA2" w:rsidRDefault="003A6FA2" w:rsidP="003B03D6">
      <w:pPr>
        <w:jc w:val="center"/>
        <w:rPr>
          <w:b/>
        </w:rPr>
      </w:pPr>
      <w:r>
        <w:rPr>
          <w:b/>
        </w:rPr>
        <w:t xml:space="preserve">K </w:t>
      </w:r>
      <w:r w:rsidRPr="00E103DF">
        <w:rPr>
          <w:b/>
        </w:rPr>
        <w:t>Čl. II</w:t>
      </w:r>
      <w:r>
        <w:rPr>
          <w:b/>
        </w:rPr>
        <w:t>I</w:t>
      </w:r>
    </w:p>
    <w:p w:rsidR="003A6FA2" w:rsidRDefault="003A6FA2" w:rsidP="003B03D6">
      <w:pPr>
        <w:jc w:val="center"/>
      </w:pPr>
    </w:p>
    <w:p w:rsidR="003A6FA2" w:rsidRDefault="003A6FA2" w:rsidP="003B03D6">
      <w:pPr>
        <w:jc w:val="both"/>
      </w:pPr>
      <w:r>
        <w:t>Účinnost vyhlášky se navrhuje dnem 1. ledna 201</w:t>
      </w:r>
      <w:r w:rsidR="00A07CF9">
        <w:t>8</w:t>
      </w:r>
      <w:r>
        <w:t>.</w:t>
      </w:r>
    </w:p>
    <w:p w:rsidR="003A6FA2" w:rsidRPr="00AD58F5" w:rsidRDefault="003A6FA2" w:rsidP="0095000A">
      <w:pPr>
        <w:jc w:val="both"/>
      </w:pPr>
      <w:r w:rsidRPr="00AD58F5">
        <w:t xml:space="preserve"> </w:t>
      </w:r>
      <w:r w:rsidRPr="00AD58F5">
        <w:tab/>
      </w:r>
    </w:p>
    <w:sectPr w:rsidR="003A6FA2" w:rsidRPr="00AD58F5" w:rsidSect="00A704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3B" w:rsidRDefault="00CF6C3B">
      <w:r>
        <w:separator/>
      </w:r>
    </w:p>
  </w:endnote>
  <w:endnote w:type="continuationSeparator" w:id="0">
    <w:p w:rsidR="00CF6C3B" w:rsidRDefault="00CF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A2" w:rsidRDefault="003A6FA2">
    <w:pPr>
      <w:pStyle w:val="Zpat"/>
      <w:jc w:val="center"/>
      <w:rPr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B6D1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3B" w:rsidRDefault="00CF6C3B">
      <w:r>
        <w:separator/>
      </w:r>
    </w:p>
  </w:footnote>
  <w:footnote w:type="continuationSeparator" w:id="0">
    <w:p w:rsidR="00CF6C3B" w:rsidRDefault="00CF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279"/>
    <w:multiLevelType w:val="hybridMultilevel"/>
    <w:tmpl w:val="4A46E6B4"/>
    <w:lvl w:ilvl="0" w:tplc="1144DA4A">
      <w:start w:val="11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5582A"/>
    <w:multiLevelType w:val="hybridMultilevel"/>
    <w:tmpl w:val="ACF2475C"/>
    <w:lvl w:ilvl="0" w:tplc="4AB4694C">
      <w:start w:val="12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F0EC2"/>
    <w:multiLevelType w:val="hybridMultilevel"/>
    <w:tmpl w:val="B5109752"/>
    <w:lvl w:ilvl="0" w:tplc="F080189A">
      <w:start w:val="10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058CF"/>
    <w:multiLevelType w:val="hybridMultilevel"/>
    <w:tmpl w:val="8FFEAC4A"/>
    <w:lvl w:ilvl="0" w:tplc="4D9A5BAA">
      <w:start w:val="10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711B3"/>
    <w:multiLevelType w:val="multilevel"/>
    <w:tmpl w:val="989C2BF2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5">
    <w:nsid w:val="0D187677"/>
    <w:multiLevelType w:val="hybridMultilevel"/>
    <w:tmpl w:val="2B6C1F7A"/>
    <w:lvl w:ilvl="0" w:tplc="F55A3002">
      <w:start w:val="10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B62E9"/>
    <w:multiLevelType w:val="hybridMultilevel"/>
    <w:tmpl w:val="A4E8C0EC"/>
    <w:lvl w:ilvl="0" w:tplc="9CDADABC">
      <w:start w:val="7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511BEC"/>
    <w:multiLevelType w:val="hybridMultilevel"/>
    <w:tmpl w:val="C3D8E352"/>
    <w:lvl w:ilvl="0" w:tplc="103AE9E2">
      <w:start w:val="20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63DCD"/>
    <w:multiLevelType w:val="hybridMultilevel"/>
    <w:tmpl w:val="2D6AB81A"/>
    <w:lvl w:ilvl="0" w:tplc="B9FA5AC8">
      <w:start w:val="12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5126C"/>
    <w:multiLevelType w:val="hybridMultilevel"/>
    <w:tmpl w:val="E3E2D2B6"/>
    <w:lvl w:ilvl="0" w:tplc="D9308328">
      <w:start w:val="118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4237E3"/>
    <w:multiLevelType w:val="hybridMultilevel"/>
    <w:tmpl w:val="A26A6990"/>
    <w:lvl w:ilvl="0" w:tplc="BDFC15F2">
      <w:start w:val="12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D04D3"/>
    <w:multiLevelType w:val="hybridMultilevel"/>
    <w:tmpl w:val="A4C4A3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43252"/>
    <w:multiLevelType w:val="hybridMultilevel"/>
    <w:tmpl w:val="46D6067C"/>
    <w:lvl w:ilvl="0" w:tplc="42FE6FD2">
      <w:start w:val="82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8A3AB5"/>
    <w:multiLevelType w:val="hybridMultilevel"/>
    <w:tmpl w:val="5EA43B8E"/>
    <w:lvl w:ilvl="0" w:tplc="6C8818DE">
      <w:start w:val="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14">
    <w:nsid w:val="2EF51731"/>
    <w:multiLevelType w:val="hybridMultilevel"/>
    <w:tmpl w:val="1BB65712"/>
    <w:lvl w:ilvl="0" w:tplc="C4546280">
      <w:start w:val="1"/>
      <w:numFmt w:val="decimal"/>
      <w:lvlText w:val="K bodu 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FE090A"/>
    <w:multiLevelType w:val="hybridMultilevel"/>
    <w:tmpl w:val="0E8E9FC0"/>
    <w:lvl w:ilvl="0" w:tplc="129E991C">
      <w:start w:val="6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226E4"/>
    <w:multiLevelType w:val="hybridMultilevel"/>
    <w:tmpl w:val="70DC072A"/>
    <w:lvl w:ilvl="0" w:tplc="971EF75E">
      <w:start w:val="86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72DED"/>
    <w:multiLevelType w:val="hybridMultilevel"/>
    <w:tmpl w:val="0E02CE72"/>
    <w:lvl w:ilvl="0" w:tplc="4BFC8F4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B0B23BF"/>
    <w:multiLevelType w:val="hybridMultilevel"/>
    <w:tmpl w:val="FB92A120"/>
    <w:lvl w:ilvl="0" w:tplc="72DE25AC">
      <w:start w:val="10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B061CC"/>
    <w:multiLevelType w:val="hybridMultilevel"/>
    <w:tmpl w:val="584846F8"/>
    <w:lvl w:ilvl="0" w:tplc="88AA53AE">
      <w:start w:val="3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6957A3"/>
    <w:multiLevelType w:val="multilevel"/>
    <w:tmpl w:val="81949358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21">
    <w:nsid w:val="5009340F"/>
    <w:multiLevelType w:val="hybridMultilevel"/>
    <w:tmpl w:val="89109FF0"/>
    <w:lvl w:ilvl="0" w:tplc="04050017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00C2508"/>
    <w:multiLevelType w:val="hybridMultilevel"/>
    <w:tmpl w:val="A98CCE1C"/>
    <w:lvl w:ilvl="0" w:tplc="BFFA548A">
      <w:start w:val="2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E64F22"/>
    <w:multiLevelType w:val="hybridMultilevel"/>
    <w:tmpl w:val="2BC6D5DC"/>
    <w:lvl w:ilvl="0" w:tplc="2AA67694">
      <w:start w:val="4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1D36C7"/>
    <w:multiLevelType w:val="hybridMultilevel"/>
    <w:tmpl w:val="548E36A0"/>
    <w:lvl w:ilvl="0" w:tplc="A23E972A">
      <w:start w:val="72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1D0B4C"/>
    <w:multiLevelType w:val="hybridMultilevel"/>
    <w:tmpl w:val="27CC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BA15BD9"/>
    <w:multiLevelType w:val="hybridMultilevel"/>
    <w:tmpl w:val="A86A7854"/>
    <w:lvl w:ilvl="0" w:tplc="E8905DAA">
      <w:start w:val="18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849B9"/>
    <w:multiLevelType w:val="multilevel"/>
    <w:tmpl w:val="989C2BF2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29">
    <w:nsid w:val="733917A5"/>
    <w:multiLevelType w:val="hybridMultilevel"/>
    <w:tmpl w:val="865E3766"/>
    <w:lvl w:ilvl="0" w:tplc="A5205756">
      <w:start w:val="5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D92E1E"/>
    <w:multiLevelType w:val="hybridMultilevel"/>
    <w:tmpl w:val="040A496E"/>
    <w:lvl w:ilvl="0" w:tplc="94FE6196">
      <w:start w:val="16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CB60F4"/>
    <w:multiLevelType w:val="hybridMultilevel"/>
    <w:tmpl w:val="930CD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623DE"/>
    <w:multiLevelType w:val="hybridMultilevel"/>
    <w:tmpl w:val="517C84B6"/>
    <w:lvl w:ilvl="0" w:tplc="3F98FBD6">
      <w:start w:val="5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C176C0"/>
    <w:multiLevelType w:val="hybridMultilevel"/>
    <w:tmpl w:val="FE46749C"/>
    <w:lvl w:ilvl="0" w:tplc="19A668C6">
      <w:start w:val="64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7"/>
  </w:num>
  <w:num w:numId="4">
    <w:abstractNumId w:val="22"/>
  </w:num>
  <w:num w:numId="5">
    <w:abstractNumId w:val="19"/>
  </w:num>
  <w:num w:numId="6">
    <w:abstractNumId w:val="23"/>
  </w:num>
  <w:num w:numId="7">
    <w:abstractNumId w:val="17"/>
  </w:num>
  <w:num w:numId="8">
    <w:abstractNumId w:val="14"/>
  </w:num>
  <w:num w:numId="9">
    <w:abstractNumId w:val="27"/>
  </w:num>
  <w:num w:numId="10">
    <w:abstractNumId w:val="32"/>
  </w:num>
  <w:num w:numId="11">
    <w:abstractNumId w:val="29"/>
  </w:num>
  <w:num w:numId="12">
    <w:abstractNumId w:val="33"/>
  </w:num>
  <w:num w:numId="13">
    <w:abstractNumId w:val="15"/>
  </w:num>
  <w:num w:numId="14">
    <w:abstractNumId w:val="24"/>
  </w:num>
  <w:num w:numId="15">
    <w:abstractNumId w:val="6"/>
  </w:num>
  <w:num w:numId="16">
    <w:abstractNumId w:val="12"/>
  </w:num>
  <w:num w:numId="17">
    <w:abstractNumId w:val="16"/>
  </w:num>
  <w:num w:numId="18">
    <w:abstractNumId w:val="2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9"/>
  </w:num>
  <w:num w:numId="24">
    <w:abstractNumId w:val="8"/>
  </w:num>
  <w:num w:numId="25">
    <w:abstractNumId w:val="10"/>
  </w:num>
  <w:num w:numId="26">
    <w:abstractNumId w:val="1"/>
  </w:num>
  <w:num w:numId="27">
    <w:abstractNumId w:val="11"/>
  </w:num>
  <w:num w:numId="28">
    <w:abstractNumId w:val="28"/>
  </w:num>
  <w:num w:numId="29">
    <w:abstractNumId w:val="4"/>
  </w:num>
  <w:num w:numId="30">
    <w:abstractNumId w:val="20"/>
  </w:num>
  <w:num w:numId="31">
    <w:abstractNumId w:val="3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DF"/>
    <w:rsid w:val="00006D93"/>
    <w:rsid w:val="00007868"/>
    <w:rsid w:val="00010781"/>
    <w:rsid w:val="0001319E"/>
    <w:rsid w:val="000150C2"/>
    <w:rsid w:val="00017609"/>
    <w:rsid w:val="00020385"/>
    <w:rsid w:val="00021622"/>
    <w:rsid w:val="00030F4A"/>
    <w:rsid w:val="0003697B"/>
    <w:rsid w:val="00041B3F"/>
    <w:rsid w:val="00042E52"/>
    <w:rsid w:val="0005172A"/>
    <w:rsid w:val="00055348"/>
    <w:rsid w:val="00071CD5"/>
    <w:rsid w:val="00072A92"/>
    <w:rsid w:val="00075BE4"/>
    <w:rsid w:val="000800BD"/>
    <w:rsid w:val="00081719"/>
    <w:rsid w:val="000906BE"/>
    <w:rsid w:val="0009398F"/>
    <w:rsid w:val="000969EE"/>
    <w:rsid w:val="000A38AE"/>
    <w:rsid w:val="000A3D7C"/>
    <w:rsid w:val="000A5C68"/>
    <w:rsid w:val="000A7E51"/>
    <w:rsid w:val="000B3580"/>
    <w:rsid w:val="000B4079"/>
    <w:rsid w:val="000C032E"/>
    <w:rsid w:val="000C5C8B"/>
    <w:rsid w:val="000C6FD0"/>
    <w:rsid w:val="000D2EBB"/>
    <w:rsid w:val="000D577F"/>
    <w:rsid w:val="000D69CA"/>
    <w:rsid w:val="000D701A"/>
    <w:rsid w:val="000D7AE9"/>
    <w:rsid w:val="000E53BF"/>
    <w:rsid w:val="000F0589"/>
    <w:rsid w:val="000F2C79"/>
    <w:rsid w:val="00105825"/>
    <w:rsid w:val="00105EDF"/>
    <w:rsid w:val="001063FE"/>
    <w:rsid w:val="00114A3E"/>
    <w:rsid w:val="00116142"/>
    <w:rsid w:val="00117839"/>
    <w:rsid w:val="001232FC"/>
    <w:rsid w:val="00123916"/>
    <w:rsid w:val="00125C6E"/>
    <w:rsid w:val="00126962"/>
    <w:rsid w:val="00126988"/>
    <w:rsid w:val="0013119A"/>
    <w:rsid w:val="00135058"/>
    <w:rsid w:val="00152118"/>
    <w:rsid w:val="0016234A"/>
    <w:rsid w:val="00167742"/>
    <w:rsid w:val="0017130A"/>
    <w:rsid w:val="001739C8"/>
    <w:rsid w:val="00177B29"/>
    <w:rsid w:val="00182FFE"/>
    <w:rsid w:val="00185408"/>
    <w:rsid w:val="001869DC"/>
    <w:rsid w:val="00190842"/>
    <w:rsid w:val="00190C7A"/>
    <w:rsid w:val="00197FBA"/>
    <w:rsid w:val="001A0CAC"/>
    <w:rsid w:val="001B2106"/>
    <w:rsid w:val="001B560E"/>
    <w:rsid w:val="001D1EF8"/>
    <w:rsid w:val="001D2CA3"/>
    <w:rsid w:val="001D577C"/>
    <w:rsid w:val="001D7F51"/>
    <w:rsid w:val="001E1657"/>
    <w:rsid w:val="001E34C7"/>
    <w:rsid w:val="001F0559"/>
    <w:rsid w:val="001F2E3E"/>
    <w:rsid w:val="001F5484"/>
    <w:rsid w:val="001F5C3A"/>
    <w:rsid w:val="0020429A"/>
    <w:rsid w:val="00216A96"/>
    <w:rsid w:val="00226197"/>
    <w:rsid w:val="002313A0"/>
    <w:rsid w:val="00233383"/>
    <w:rsid w:val="00233655"/>
    <w:rsid w:val="00233B55"/>
    <w:rsid w:val="002361CF"/>
    <w:rsid w:val="00243CF1"/>
    <w:rsid w:val="00243D98"/>
    <w:rsid w:val="00250589"/>
    <w:rsid w:val="00250BCF"/>
    <w:rsid w:val="00252950"/>
    <w:rsid w:val="0025314B"/>
    <w:rsid w:val="00254D31"/>
    <w:rsid w:val="00255395"/>
    <w:rsid w:val="00256BF7"/>
    <w:rsid w:val="00260C38"/>
    <w:rsid w:val="00261E95"/>
    <w:rsid w:val="002643E9"/>
    <w:rsid w:val="0026537B"/>
    <w:rsid w:val="00270BA4"/>
    <w:rsid w:val="00277FD4"/>
    <w:rsid w:val="0028147D"/>
    <w:rsid w:val="00283455"/>
    <w:rsid w:val="00284009"/>
    <w:rsid w:val="00286B63"/>
    <w:rsid w:val="00290687"/>
    <w:rsid w:val="0029250C"/>
    <w:rsid w:val="00292757"/>
    <w:rsid w:val="00292A58"/>
    <w:rsid w:val="00292AA9"/>
    <w:rsid w:val="00292E72"/>
    <w:rsid w:val="00292FF7"/>
    <w:rsid w:val="002A0127"/>
    <w:rsid w:val="002A0FB1"/>
    <w:rsid w:val="002A1FC9"/>
    <w:rsid w:val="002A6DFE"/>
    <w:rsid w:val="002B6128"/>
    <w:rsid w:val="002C1C86"/>
    <w:rsid w:val="002C2944"/>
    <w:rsid w:val="002C657C"/>
    <w:rsid w:val="002D265D"/>
    <w:rsid w:val="002D5BB3"/>
    <w:rsid w:val="002D6BBD"/>
    <w:rsid w:val="002E75B1"/>
    <w:rsid w:val="002F31C3"/>
    <w:rsid w:val="00301DCE"/>
    <w:rsid w:val="00302BF4"/>
    <w:rsid w:val="0030525F"/>
    <w:rsid w:val="0031118E"/>
    <w:rsid w:val="003112A3"/>
    <w:rsid w:val="00315BAB"/>
    <w:rsid w:val="003207CD"/>
    <w:rsid w:val="003216DE"/>
    <w:rsid w:val="00323208"/>
    <w:rsid w:val="003268BC"/>
    <w:rsid w:val="00340A6C"/>
    <w:rsid w:val="00341F36"/>
    <w:rsid w:val="00345763"/>
    <w:rsid w:val="00361780"/>
    <w:rsid w:val="00361E70"/>
    <w:rsid w:val="0037253F"/>
    <w:rsid w:val="00373F9B"/>
    <w:rsid w:val="003755C1"/>
    <w:rsid w:val="00377B7D"/>
    <w:rsid w:val="00390021"/>
    <w:rsid w:val="0039094F"/>
    <w:rsid w:val="003911CD"/>
    <w:rsid w:val="003A2144"/>
    <w:rsid w:val="003A44A2"/>
    <w:rsid w:val="003A4868"/>
    <w:rsid w:val="003A6326"/>
    <w:rsid w:val="003A6FA2"/>
    <w:rsid w:val="003B03D6"/>
    <w:rsid w:val="003B04B5"/>
    <w:rsid w:val="003B127B"/>
    <w:rsid w:val="003B56E8"/>
    <w:rsid w:val="003B5CC5"/>
    <w:rsid w:val="003C0CD0"/>
    <w:rsid w:val="003C20E8"/>
    <w:rsid w:val="003C21F5"/>
    <w:rsid w:val="003C2443"/>
    <w:rsid w:val="003C43CD"/>
    <w:rsid w:val="003D014F"/>
    <w:rsid w:val="003D48A2"/>
    <w:rsid w:val="003D49C4"/>
    <w:rsid w:val="003D4D1E"/>
    <w:rsid w:val="003E157C"/>
    <w:rsid w:val="003E3583"/>
    <w:rsid w:val="003E39B5"/>
    <w:rsid w:val="003E4C53"/>
    <w:rsid w:val="003E6E67"/>
    <w:rsid w:val="003E78C8"/>
    <w:rsid w:val="003F1998"/>
    <w:rsid w:val="00402281"/>
    <w:rsid w:val="004029B8"/>
    <w:rsid w:val="00404637"/>
    <w:rsid w:val="00404B98"/>
    <w:rsid w:val="004063B9"/>
    <w:rsid w:val="004104A8"/>
    <w:rsid w:val="004115D6"/>
    <w:rsid w:val="00412950"/>
    <w:rsid w:val="00417EF6"/>
    <w:rsid w:val="00422858"/>
    <w:rsid w:val="0042700F"/>
    <w:rsid w:val="00430088"/>
    <w:rsid w:val="004344BA"/>
    <w:rsid w:val="004358E4"/>
    <w:rsid w:val="004449F1"/>
    <w:rsid w:val="00456DD1"/>
    <w:rsid w:val="004612A5"/>
    <w:rsid w:val="00461FC3"/>
    <w:rsid w:val="00462334"/>
    <w:rsid w:val="00474010"/>
    <w:rsid w:val="00474FBD"/>
    <w:rsid w:val="00476E17"/>
    <w:rsid w:val="0048291B"/>
    <w:rsid w:val="00487300"/>
    <w:rsid w:val="00490F2E"/>
    <w:rsid w:val="0049278A"/>
    <w:rsid w:val="0049381A"/>
    <w:rsid w:val="004A00DD"/>
    <w:rsid w:val="004A11AE"/>
    <w:rsid w:val="004A30B5"/>
    <w:rsid w:val="004A4156"/>
    <w:rsid w:val="004A5DB9"/>
    <w:rsid w:val="004B58C4"/>
    <w:rsid w:val="004B6D16"/>
    <w:rsid w:val="004C0AE0"/>
    <w:rsid w:val="004C5AF6"/>
    <w:rsid w:val="004D322E"/>
    <w:rsid w:val="004D3461"/>
    <w:rsid w:val="004E5D9B"/>
    <w:rsid w:val="004E6D8D"/>
    <w:rsid w:val="00503871"/>
    <w:rsid w:val="00511C70"/>
    <w:rsid w:val="00512A89"/>
    <w:rsid w:val="00517092"/>
    <w:rsid w:val="00521EF8"/>
    <w:rsid w:val="00525131"/>
    <w:rsid w:val="0052776D"/>
    <w:rsid w:val="00537934"/>
    <w:rsid w:val="005406BB"/>
    <w:rsid w:val="0054416C"/>
    <w:rsid w:val="00546326"/>
    <w:rsid w:val="00553329"/>
    <w:rsid w:val="005554AF"/>
    <w:rsid w:val="00555E22"/>
    <w:rsid w:val="005575E7"/>
    <w:rsid w:val="00560CCF"/>
    <w:rsid w:val="00570A4F"/>
    <w:rsid w:val="005752ED"/>
    <w:rsid w:val="00591E32"/>
    <w:rsid w:val="00592431"/>
    <w:rsid w:val="005947B6"/>
    <w:rsid w:val="005A256A"/>
    <w:rsid w:val="005A392A"/>
    <w:rsid w:val="005A73C5"/>
    <w:rsid w:val="005B3F9E"/>
    <w:rsid w:val="005C5298"/>
    <w:rsid w:val="005D2C80"/>
    <w:rsid w:val="005D5525"/>
    <w:rsid w:val="005D7C9D"/>
    <w:rsid w:val="005E38E7"/>
    <w:rsid w:val="005E60E5"/>
    <w:rsid w:val="005F7041"/>
    <w:rsid w:val="0062002E"/>
    <w:rsid w:val="00621EE4"/>
    <w:rsid w:val="0062218B"/>
    <w:rsid w:val="00622E52"/>
    <w:rsid w:val="006337BE"/>
    <w:rsid w:val="006357D4"/>
    <w:rsid w:val="00641F67"/>
    <w:rsid w:val="00642105"/>
    <w:rsid w:val="006451FF"/>
    <w:rsid w:val="0066341A"/>
    <w:rsid w:val="00664D75"/>
    <w:rsid w:val="006702A4"/>
    <w:rsid w:val="006731ED"/>
    <w:rsid w:val="00674BA9"/>
    <w:rsid w:val="00675159"/>
    <w:rsid w:val="006777A2"/>
    <w:rsid w:val="00682BDD"/>
    <w:rsid w:val="00683C9A"/>
    <w:rsid w:val="006859C7"/>
    <w:rsid w:val="00687CB0"/>
    <w:rsid w:val="006911ED"/>
    <w:rsid w:val="006A65B9"/>
    <w:rsid w:val="006A665E"/>
    <w:rsid w:val="006B00B1"/>
    <w:rsid w:val="006B4EC5"/>
    <w:rsid w:val="006B56D4"/>
    <w:rsid w:val="006B6E7A"/>
    <w:rsid w:val="006C45FD"/>
    <w:rsid w:val="006C76AE"/>
    <w:rsid w:val="006D035D"/>
    <w:rsid w:val="006D13EB"/>
    <w:rsid w:val="006D390A"/>
    <w:rsid w:val="006D792B"/>
    <w:rsid w:val="006E13BE"/>
    <w:rsid w:val="006F15F5"/>
    <w:rsid w:val="006F4228"/>
    <w:rsid w:val="006F71D3"/>
    <w:rsid w:val="006F7E19"/>
    <w:rsid w:val="00702D83"/>
    <w:rsid w:val="007039C6"/>
    <w:rsid w:val="007054FB"/>
    <w:rsid w:val="007071F9"/>
    <w:rsid w:val="00707AC4"/>
    <w:rsid w:val="007109C2"/>
    <w:rsid w:val="00712590"/>
    <w:rsid w:val="00714A7C"/>
    <w:rsid w:val="007220AB"/>
    <w:rsid w:val="007227B8"/>
    <w:rsid w:val="007230EE"/>
    <w:rsid w:val="00724DEC"/>
    <w:rsid w:val="00726043"/>
    <w:rsid w:val="007308EC"/>
    <w:rsid w:val="0073484D"/>
    <w:rsid w:val="00736042"/>
    <w:rsid w:val="00743F38"/>
    <w:rsid w:val="0074461B"/>
    <w:rsid w:val="00756A45"/>
    <w:rsid w:val="00757E3D"/>
    <w:rsid w:val="00762003"/>
    <w:rsid w:val="00762D1C"/>
    <w:rsid w:val="00763DC6"/>
    <w:rsid w:val="0076594F"/>
    <w:rsid w:val="00766311"/>
    <w:rsid w:val="00766FF1"/>
    <w:rsid w:val="00772AA0"/>
    <w:rsid w:val="0077600A"/>
    <w:rsid w:val="0078065B"/>
    <w:rsid w:val="00782A5D"/>
    <w:rsid w:val="00783D6C"/>
    <w:rsid w:val="007928A2"/>
    <w:rsid w:val="0079457D"/>
    <w:rsid w:val="007A023E"/>
    <w:rsid w:val="007A02DB"/>
    <w:rsid w:val="007A34DF"/>
    <w:rsid w:val="007A6A1C"/>
    <w:rsid w:val="007B08E6"/>
    <w:rsid w:val="007B2A0F"/>
    <w:rsid w:val="007B5740"/>
    <w:rsid w:val="007C09E7"/>
    <w:rsid w:val="007C115F"/>
    <w:rsid w:val="007C4712"/>
    <w:rsid w:val="007C4E3D"/>
    <w:rsid w:val="007C5C40"/>
    <w:rsid w:val="007D76A7"/>
    <w:rsid w:val="007E1C0C"/>
    <w:rsid w:val="007E37AE"/>
    <w:rsid w:val="007E475B"/>
    <w:rsid w:val="007F1AE9"/>
    <w:rsid w:val="007F1C1D"/>
    <w:rsid w:val="007F57C3"/>
    <w:rsid w:val="007F71CA"/>
    <w:rsid w:val="00813F86"/>
    <w:rsid w:val="008165A1"/>
    <w:rsid w:val="008239DA"/>
    <w:rsid w:val="00831ED4"/>
    <w:rsid w:val="00832A37"/>
    <w:rsid w:val="008342A8"/>
    <w:rsid w:val="0084752B"/>
    <w:rsid w:val="0086440C"/>
    <w:rsid w:val="00865510"/>
    <w:rsid w:val="00865993"/>
    <w:rsid w:val="00870890"/>
    <w:rsid w:val="00881231"/>
    <w:rsid w:val="00885F5F"/>
    <w:rsid w:val="00887444"/>
    <w:rsid w:val="00894050"/>
    <w:rsid w:val="0089755C"/>
    <w:rsid w:val="008A37E8"/>
    <w:rsid w:val="008A4196"/>
    <w:rsid w:val="008A54FD"/>
    <w:rsid w:val="008B18AA"/>
    <w:rsid w:val="008B19E4"/>
    <w:rsid w:val="008B1B4C"/>
    <w:rsid w:val="008B2F2B"/>
    <w:rsid w:val="008B4E77"/>
    <w:rsid w:val="008B50A3"/>
    <w:rsid w:val="008B5CDB"/>
    <w:rsid w:val="008C539B"/>
    <w:rsid w:val="008C5AED"/>
    <w:rsid w:val="008D025F"/>
    <w:rsid w:val="008D2EA0"/>
    <w:rsid w:val="008D4D5C"/>
    <w:rsid w:val="008D7B3C"/>
    <w:rsid w:val="008E054A"/>
    <w:rsid w:val="008E2DA0"/>
    <w:rsid w:val="008F0EF9"/>
    <w:rsid w:val="00901FB6"/>
    <w:rsid w:val="009258C9"/>
    <w:rsid w:val="00925B30"/>
    <w:rsid w:val="009273BB"/>
    <w:rsid w:val="0095000A"/>
    <w:rsid w:val="00950B0C"/>
    <w:rsid w:val="00952B93"/>
    <w:rsid w:val="0096113F"/>
    <w:rsid w:val="009656C8"/>
    <w:rsid w:val="009747A9"/>
    <w:rsid w:val="00982EA9"/>
    <w:rsid w:val="0098480C"/>
    <w:rsid w:val="00984A19"/>
    <w:rsid w:val="00991691"/>
    <w:rsid w:val="00991A41"/>
    <w:rsid w:val="009A569C"/>
    <w:rsid w:val="009A6893"/>
    <w:rsid w:val="009A6CE3"/>
    <w:rsid w:val="009A7161"/>
    <w:rsid w:val="009B1A12"/>
    <w:rsid w:val="009B37D6"/>
    <w:rsid w:val="009B37D8"/>
    <w:rsid w:val="009B4845"/>
    <w:rsid w:val="009B6A21"/>
    <w:rsid w:val="009C0F86"/>
    <w:rsid w:val="009C1A8A"/>
    <w:rsid w:val="009C2295"/>
    <w:rsid w:val="009C36B5"/>
    <w:rsid w:val="009C70A8"/>
    <w:rsid w:val="009D742D"/>
    <w:rsid w:val="009D785C"/>
    <w:rsid w:val="009E559D"/>
    <w:rsid w:val="009E745A"/>
    <w:rsid w:val="00A022D9"/>
    <w:rsid w:val="00A04186"/>
    <w:rsid w:val="00A05A11"/>
    <w:rsid w:val="00A07CF9"/>
    <w:rsid w:val="00A13B0D"/>
    <w:rsid w:val="00A23530"/>
    <w:rsid w:val="00A23645"/>
    <w:rsid w:val="00A30036"/>
    <w:rsid w:val="00A32273"/>
    <w:rsid w:val="00A34C73"/>
    <w:rsid w:val="00A50F89"/>
    <w:rsid w:val="00A54ACA"/>
    <w:rsid w:val="00A61BC5"/>
    <w:rsid w:val="00A63BD0"/>
    <w:rsid w:val="00A704B7"/>
    <w:rsid w:val="00A72F0A"/>
    <w:rsid w:val="00A744D1"/>
    <w:rsid w:val="00A816A9"/>
    <w:rsid w:val="00A8305D"/>
    <w:rsid w:val="00A831A7"/>
    <w:rsid w:val="00A84C20"/>
    <w:rsid w:val="00A86A72"/>
    <w:rsid w:val="00A87101"/>
    <w:rsid w:val="00A875A6"/>
    <w:rsid w:val="00A9197A"/>
    <w:rsid w:val="00A93D60"/>
    <w:rsid w:val="00A94238"/>
    <w:rsid w:val="00A94557"/>
    <w:rsid w:val="00AA4D0B"/>
    <w:rsid w:val="00AA4D2B"/>
    <w:rsid w:val="00AA64BB"/>
    <w:rsid w:val="00AB12F3"/>
    <w:rsid w:val="00AB1AE5"/>
    <w:rsid w:val="00AB1D77"/>
    <w:rsid w:val="00AD0A89"/>
    <w:rsid w:val="00AD58F5"/>
    <w:rsid w:val="00AE636A"/>
    <w:rsid w:val="00AF4C84"/>
    <w:rsid w:val="00AF7092"/>
    <w:rsid w:val="00B02D35"/>
    <w:rsid w:val="00B04B3D"/>
    <w:rsid w:val="00B164E2"/>
    <w:rsid w:val="00B17CC1"/>
    <w:rsid w:val="00B218B5"/>
    <w:rsid w:val="00B37144"/>
    <w:rsid w:val="00B4213A"/>
    <w:rsid w:val="00B5073B"/>
    <w:rsid w:val="00B520DC"/>
    <w:rsid w:val="00B52C70"/>
    <w:rsid w:val="00B5508D"/>
    <w:rsid w:val="00B603DF"/>
    <w:rsid w:val="00B60A16"/>
    <w:rsid w:val="00B65970"/>
    <w:rsid w:val="00B65E3B"/>
    <w:rsid w:val="00B67190"/>
    <w:rsid w:val="00B70C8B"/>
    <w:rsid w:val="00B740FE"/>
    <w:rsid w:val="00B82C26"/>
    <w:rsid w:val="00B92217"/>
    <w:rsid w:val="00B938EE"/>
    <w:rsid w:val="00BA21B4"/>
    <w:rsid w:val="00BA226A"/>
    <w:rsid w:val="00BA6AB2"/>
    <w:rsid w:val="00BB41BB"/>
    <w:rsid w:val="00BC6255"/>
    <w:rsid w:val="00BC6BAE"/>
    <w:rsid w:val="00BD106A"/>
    <w:rsid w:val="00BD53D0"/>
    <w:rsid w:val="00BE56B5"/>
    <w:rsid w:val="00BE65A8"/>
    <w:rsid w:val="00BE671F"/>
    <w:rsid w:val="00BF0213"/>
    <w:rsid w:val="00BF4A33"/>
    <w:rsid w:val="00C01146"/>
    <w:rsid w:val="00C03737"/>
    <w:rsid w:val="00C07056"/>
    <w:rsid w:val="00C1070B"/>
    <w:rsid w:val="00C12228"/>
    <w:rsid w:val="00C170D6"/>
    <w:rsid w:val="00C17A6C"/>
    <w:rsid w:val="00C230C6"/>
    <w:rsid w:val="00C27F5F"/>
    <w:rsid w:val="00C331BD"/>
    <w:rsid w:val="00C400C4"/>
    <w:rsid w:val="00C434B0"/>
    <w:rsid w:val="00C4716C"/>
    <w:rsid w:val="00C61C40"/>
    <w:rsid w:val="00C65F7C"/>
    <w:rsid w:val="00C75811"/>
    <w:rsid w:val="00C83A09"/>
    <w:rsid w:val="00C87334"/>
    <w:rsid w:val="00C91353"/>
    <w:rsid w:val="00C91B01"/>
    <w:rsid w:val="00C92386"/>
    <w:rsid w:val="00C9671B"/>
    <w:rsid w:val="00CA4A83"/>
    <w:rsid w:val="00CA4E48"/>
    <w:rsid w:val="00CA5829"/>
    <w:rsid w:val="00CB5BBF"/>
    <w:rsid w:val="00CB5C8F"/>
    <w:rsid w:val="00CC40EB"/>
    <w:rsid w:val="00CD36F3"/>
    <w:rsid w:val="00CD500E"/>
    <w:rsid w:val="00CD5DE2"/>
    <w:rsid w:val="00CE1B3A"/>
    <w:rsid w:val="00CF3811"/>
    <w:rsid w:val="00CF5E93"/>
    <w:rsid w:val="00CF6C3B"/>
    <w:rsid w:val="00D00045"/>
    <w:rsid w:val="00D07804"/>
    <w:rsid w:val="00D11F81"/>
    <w:rsid w:val="00D1370F"/>
    <w:rsid w:val="00D149D3"/>
    <w:rsid w:val="00D17B0D"/>
    <w:rsid w:val="00D36706"/>
    <w:rsid w:val="00D37F78"/>
    <w:rsid w:val="00D40FF4"/>
    <w:rsid w:val="00D45AC6"/>
    <w:rsid w:val="00D509A9"/>
    <w:rsid w:val="00D522FD"/>
    <w:rsid w:val="00D559B0"/>
    <w:rsid w:val="00D56767"/>
    <w:rsid w:val="00D56C04"/>
    <w:rsid w:val="00D56E43"/>
    <w:rsid w:val="00D62473"/>
    <w:rsid w:val="00D647B9"/>
    <w:rsid w:val="00D746C2"/>
    <w:rsid w:val="00D76447"/>
    <w:rsid w:val="00D814BC"/>
    <w:rsid w:val="00D8163B"/>
    <w:rsid w:val="00D81B27"/>
    <w:rsid w:val="00D8348E"/>
    <w:rsid w:val="00D853FB"/>
    <w:rsid w:val="00D92A3D"/>
    <w:rsid w:val="00DA35FB"/>
    <w:rsid w:val="00DA5288"/>
    <w:rsid w:val="00DA65FF"/>
    <w:rsid w:val="00DB1689"/>
    <w:rsid w:val="00DB4926"/>
    <w:rsid w:val="00DC1A39"/>
    <w:rsid w:val="00DC1B1E"/>
    <w:rsid w:val="00DC5C31"/>
    <w:rsid w:val="00DC6DE7"/>
    <w:rsid w:val="00DD2B29"/>
    <w:rsid w:val="00DE34FC"/>
    <w:rsid w:val="00DE6BCC"/>
    <w:rsid w:val="00DE73DD"/>
    <w:rsid w:val="00DF52C7"/>
    <w:rsid w:val="00E015F2"/>
    <w:rsid w:val="00E03E59"/>
    <w:rsid w:val="00E103DF"/>
    <w:rsid w:val="00E14E50"/>
    <w:rsid w:val="00E151E2"/>
    <w:rsid w:val="00E178F0"/>
    <w:rsid w:val="00E21083"/>
    <w:rsid w:val="00E22E14"/>
    <w:rsid w:val="00E22F92"/>
    <w:rsid w:val="00E25F4A"/>
    <w:rsid w:val="00E268F8"/>
    <w:rsid w:val="00E32CA2"/>
    <w:rsid w:val="00E42C93"/>
    <w:rsid w:val="00E430F6"/>
    <w:rsid w:val="00E46187"/>
    <w:rsid w:val="00E50119"/>
    <w:rsid w:val="00E51C2C"/>
    <w:rsid w:val="00E52648"/>
    <w:rsid w:val="00E545D5"/>
    <w:rsid w:val="00E54E88"/>
    <w:rsid w:val="00E56BAD"/>
    <w:rsid w:val="00E63473"/>
    <w:rsid w:val="00E639C6"/>
    <w:rsid w:val="00E647AC"/>
    <w:rsid w:val="00E64869"/>
    <w:rsid w:val="00E65F85"/>
    <w:rsid w:val="00E73118"/>
    <w:rsid w:val="00E73B40"/>
    <w:rsid w:val="00E76B09"/>
    <w:rsid w:val="00E8636E"/>
    <w:rsid w:val="00E96A7A"/>
    <w:rsid w:val="00EA2F0B"/>
    <w:rsid w:val="00EA4085"/>
    <w:rsid w:val="00EC06AA"/>
    <w:rsid w:val="00EC2ECA"/>
    <w:rsid w:val="00EC46AB"/>
    <w:rsid w:val="00EC6C4E"/>
    <w:rsid w:val="00EC7F1A"/>
    <w:rsid w:val="00ED3073"/>
    <w:rsid w:val="00ED787D"/>
    <w:rsid w:val="00EE1A9E"/>
    <w:rsid w:val="00EE7CD1"/>
    <w:rsid w:val="00EF005B"/>
    <w:rsid w:val="00EF29B2"/>
    <w:rsid w:val="00EF3576"/>
    <w:rsid w:val="00EF5DE7"/>
    <w:rsid w:val="00EF65E7"/>
    <w:rsid w:val="00F006F4"/>
    <w:rsid w:val="00F07605"/>
    <w:rsid w:val="00F1016B"/>
    <w:rsid w:val="00F16DCE"/>
    <w:rsid w:val="00F20BCF"/>
    <w:rsid w:val="00F25420"/>
    <w:rsid w:val="00F35A67"/>
    <w:rsid w:val="00F45F31"/>
    <w:rsid w:val="00F55717"/>
    <w:rsid w:val="00F5598B"/>
    <w:rsid w:val="00F563F9"/>
    <w:rsid w:val="00F61CEB"/>
    <w:rsid w:val="00F64951"/>
    <w:rsid w:val="00F82F8D"/>
    <w:rsid w:val="00F920C2"/>
    <w:rsid w:val="00F94B12"/>
    <w:rsid w:val="00F94E8C"/>
    <w:rsid w:val="00FA1B1F"/>
    <w:rsid w:val="00FA33EA"/>
    <w:rsid w:val="00FB3889"/>
    <w:rsid w:val="00FC02F5"/>
    <w:rsid w:val="00FC2074"/>
    <w:rsid w:val="00FC6038"/>
    <w:rsid w:val="00FC7B0A"/>
    <w:rsid w:val="00FD2977"/>
    <w:rsid w:val="00FD6BE6"/>
    <w:rsid w:val="00FE04EA"/>
    <w:rsid w:val="00FE2112"/>
    <w:rsid w:val="00FE5CCA"/>
    <w:rsid w:val="00FE6908"/>
    <w:rsid w:val="00FE7868"/>
    <w:rsid w:val="00FF0F39"/>
    <w:rsid w:val="00FF25A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CE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56DD1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56DD1"/>
    <w:pPr>
      <w:keepNext/>
      <w:autoSpaceDE w:val="0"/>
      <w:autoSpaceDN w:val="0"/>
      <w:adjustRightInd w:val="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41F3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41F36"/>
    <w:rPr>
      <w:rFonts w:ascii="Cambria" w:hAnsi="Cambria" w:cs="Times New Roman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F61CEB"/>
    <w:rPr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F61CEB"/>
    <w:rPr>
      <w:sz w:val="24"/>
    </w:rPr>
  </w:style>
  <w:style w:type="paragraph" w:styleId="Zhlav">
    <w:name w:val="header"/>
    <w:basedOn w:val="Normln"/>
    <w:link w:val="Zhlav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sid w:val="004A4156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4A4156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A63B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3BD0"/>
    <w:rPr>
      <w:rFonts w:cs="Times New Roman"/>
    </w:rPr>
  </w:style>
  <w:style w:type="character" w:styleId="Odkaznakoment">
    <w:name w:val="annotation reference"/>
    <w:uiPriority w:val="99"/>
    <w:semiHidden/>
    <w:rsid w:val="00A63BD0"/>
    <w:rPr>
      <w:rFonts w:cs="Times New Roman"/>
      <w:sz w:val="16"/>
    </w:rPr>
  </w:style>
  <w:style w:type="paragraph" w:customStyle="1" w:styleId="Parlament">
    <w:name w:val="Parlament"/>
    <w:basedOn w:val="Normln"/>
    <w:next w:val="Normln"/>
    <w:uiPriority w:val="99"/>
    <w:rsid w:val="00456DD1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456DD1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341F36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56DD1"/>
    <w:pPr>
      <w:spacing w:after="120" w:line="480" w:lineRule="auto"/>
      <w:ind w:left="283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41F36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456DD1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41F36"/>
    <w:rPr>
      <w:rFonts w:cs="Times New Roman"/>
      <w:sz w:val="24"/>
    </w:rPr>
  </w:style>
  <w:style w:type="character" w:styleId="Hypertextovodkaz">
    <w:name w:val="Hyperlink"/>
    <w:uiPriority w:val="99"/>
    <w:rsid w:val="001739C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071F9"/>
    <w:pPr>
      <w:ind w:left="720"/>
      <w:contextualSpacing/>
    </w:pPr>
  </w:style>
  <w:style w:type="paragraph" w:customStyle="1" w:styleId="DTlotextu1">
    <w:name w:val="D Tělo textu 1"/>
    <w:basedOn w:val="Normln"/>
    <w:uiPriority w:val="99"/>
    <w:rsid w:val="00D92A3D"/>
    <w:pPr>
      <w:spacing w:before="120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C83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22E52"/>
    <w:rPr>
      <w:rFonts w:cs="Times New Roman"/>
      <w:sz w:val="2"/>
    </w:rPr>
  </w:style>
  <w:style w:type="paragraph" w:customStyle="1" w:styleId="Textbodu">
    <w:name w:val="Text bodu"/>
    <w:basedOn w:val="Normln"/>
    <w:uiPriority w:val="99"/>
    <w:rsid w:val="007C115F"/>
    <w:pPr>
      <w:numPr>
        <w:ilvl w:val="2"/>
        <w:numId w:val="3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7C115F"/>
    <w:pPr>
      <w:numPr>
        <w:ilvl w:val="1"/>
        <w:numId w:val="32"/>
      </w:numPr>
      <w:jc w:val="both"/>
      <w:outlineLvl w:val="7"/>
    </w:pPr>
    <w:rPr>
      <w:szCs w:val="20"/>
    </w:rPr>
  </w:style>
  <w:style w:type="character" w:customStyle="1" w:styleId="TextodstavceChar">
    <w:name w:val="Text odstavce Char"/>
    <w:link w:val="Textodstavce"/>
    <w:uiPriority w:val="99"/>
    <w:locked/>
    <w:rsid w:val="007C115F"/>
  </w:style>
  <w:style w:type="paragraph" w:customStyle="1" w:styleId="Textodstavce">
    <w:name w:val="Text odstavce"/>
    <w:basedOn w:val="Normln"/>
    <w:link w:val="TextodstavceChar"/>
    <w:uiPriority w:val="99"/>
    <w:rsid w:val="007C115F"/>
    <w:pPr>
      <w:numPr>
        <w:numId w:val="32"/>
      </w:numPr>
      <w:tabs>
        <w:tab w:val="left" w:pos="851"/>
      </w:tabs>
      <w:spacing w:before="120" w:after="120"/>
      <w:jc w:val="both"/>
      <w:outlineLvl w:val="6"/>
    </w:pPr>
    <w:rPr>
      <w:sz w:val="20"/>
      <w:szCs w:val="20"/>
    </w:rPr>
  </w:style>
  <w:style w:type="paragraph" w:customStyle="1" w:styleId="IASBNormalnpara">
    <w:name w:val="IASB Normal npara"/>
    <w:basedOn w:val="Normln"/>
    <w:rsid w:val="009C1A8A"/>
    <w:pPr>
      <w:spacing w:before="100"/>
      <w:ind w:left="782" w:hanging="782"/>
      <w:jc w:val="both"/>
    </w:pPr>
    <w:rPr>
      <w:sz w:val="19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C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CE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CE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56DD1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56DD1"/>
    <w:pPr>
      <w:keepNext/>
      <w:autoSpaceDE w:val="0"/>
      <w:autoSpaceDN w:val="0"/>
      <w:adjustRightInd w:val="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41F3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41F36"/>
    <w:rPr>
      <w:rFonts w:ascii="Cambria" w:hAnsi="Cambria" w:cs="Times New Roman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F61CEB"/>
    <w:rPr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F61CEB"/>
    <w:rPr>
      <w:sz w:val="24"/>
    </w:rPr>
  </w:style>
  <w:style w:type="paragraph" w:styleId="Zhlav">
    <w:name w:val="header"/>
    <w:basedOn w:val="Normln"/>
    <w:link w:val="Zhlav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sid w:val="004A4156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4A4156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A63B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3BD0"/>
    <w:rPr>
      <w:rFonts w:cs="Times New Roman"/>
    </w:rPr>
  </w:style>
  <w:style w:type="character" w:styleId="Odkaznakoment">
    <w:name w:val="annotation reference"/>
    <w:uiPriority w:val="99"/>
    <w:semiHidden/>
    <w:rsid w:val="00A63BD0"/>
    <w:rPr>
      <w:rFonts w:cs="Times New Roman"/>
      <w:sz w:val="16"/>
    </w:rPr>
  </w:style>
  <w:style w:type="paragraph" w:customStyle="1" w:styleId="Parlament">
    <w:name w:val="Parlament"/>
    <w:basedOn w:val="Normln"/>
    <w:next w:val="Normln"/>
    <w:uiPriority w:val="99"/>
    <w:rsid w:val="00456DD1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456DD1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341F36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56DD1"/>
    <w:pPr>
      <w:spacing w:after="120" w:line="480" w:lineRule="auto"/>
      <w:ind w:left="283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41F36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456DD1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41F36"/>
    <w:rPr>
      <w:rFonts w:cs="Times New Roman"/>
      <w:sz w:val="24"/>
    </w:rPr>
  </w:style>
  <w:style w:type="character" w:styleId="Hypertextovodkaz">
    <w:name w:val="Hyperlink"/>
    <w:uiPriority w:val="99"/>
    <w:rsid w:val="001739C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071F9"/>
    <w:pPr>
      <w:ind w:left="720"/>
      <w:contextualSpacing/>
    </w:pPr>
  </w:style>
  <w:style w:type="paragraph" w:customStyle="1" w:styleId="DTlotextu1">
    <w:name w:val="D Tělo textu 1"/>
    <w:basedOn w:val="Normln"/>
    <w:uiPriority w:val="99"/>
    <w:rsid w:val="00D92A3D"/>
    <w:pPr>
      <w:spacing w:before="120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C83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22E52"/>
    <w:rPr>
      <w:rFonts w:cs="Times New Roman"/>
      <w:sz w:val="2"/>
    </w:rPr>
  </w:style>
  <w:style w:type="paragraph" w:customStyle="1" w:styleId="Textbodu">
    <w:name w:val="Text bodu"/>
    <w:basedOn w:val="Normln"/>
    <w:uiPriority w:val="99"/>
    <w:rsid w:val="007C115F"/>
    <w:pPr>
      <w:numPr>
        <w:ilvl w:val="2"/>
        <w:numId w:val="3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7C115F"/>
    <w:pPr>
      <w:numPr>
        <w:ilvl w:val="1"/>
        <w:numId w:val="32"/>
      </w:numPr>
      <w:jc w:val="both"/>
      <w:outlineLvl w:val="7"/>
    </w:pPr>
    <w:rPr>
      <w:szCs w:val="20"/>
    </w:rPr>
  </w:style>
  <w:style w:type="character" w:customStyle="1" w:styleId="TextodstavceChar">
    <w:name w:val="Text odstavce Char"/>
    <w:link w:val="Textodstavce"/>
    <w:uiPriority w:val="99"/>
    <w:locked/>
    <w:rsid w:val="007C115F"/>
  </w:style>
  <w:style w:type="paragraph" w:customStyle="1" w:styleId="Textodstavce">
    <w:name w:val="Text odstavce"/>
    <w:basedOn w:val="Normln"/>
    <w:link w:val="TextodstavceChar"/>
    <w:uiPriority w:val="99"/>
    <w:rsid w:val="007C115F"/>
    <w:pPr>
      <w:numPr>
        <w:numId w:val="32"/>
      </w:numPr>
      <w:tabs>
        <w:tab w:val="left" w:pos="851"/>
      </w:tabs>
      <w:spacing w:before="120" w:after="120"/>
      <w:jc w:val="both"/>
      <w:outlineLvl w:val="6"/>
    </w:pPr>
    <w:rPr>
      <w:sz w:val="20"/>
      <w:szCs w:val="20"/>
    </w:rPr>
  </w:style>
  <w:style w:type="paragraph" w:customStyle="1" w:styleId="IASBNormalnpara">
    <w:name w:val="IASB Normal npara"/>
    <w:basedOn w:val="Normln"/>
    <w:rsid w:val="009C1A8A"/>
    <w:pPr>
      <w:spacing w:before="100"/>
      <w:ind w:left="782" w:hanging="782"/>
      <w:jc w:val="both"/>
    </w:pPr>
    <w:rPr>
      <w:sz w:val="19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C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C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D&#367;vodov&#225;%20zpr&#225;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</Template>
  <TotalTime>1</TotalTime>
  <Pages>10</Pages>
  <Words>3492</Words>
  <Characters>19055</Characters>
  <Application>Microsoft Office Word</Application>
  <DocSecurity>4</DocSecurity>
  <Lines>158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Tittelbach Václav Ing.</dc:creator>
  <cp:lastModifiedBy>KACR - Pavla Psenickova</cp:lastModifiedBy>
  <cp:revision>2</cp:revision>
  <cp:lastPrinted>2004-05-12T10:49:00Z</cp:lastPrinted>
  <dcterms:created xsi:type="dcterms:W3CDTF">2017-08-07T08:36:00Z</dcterms:created>
  <dcterms:modified xsi:type="dcterms:W3CDTF">2017-08-07T08:36:00Z</dcterms:modified>
</cp:coreProperties>
</file>