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547" w:rsidRDefault="00125547" w:rsidP="00AC1473">
      <w:pPr>
        <w:pStyle w:val="WW-Zkladntext2"/>
        <w:keepNext/>
        <w:keepLines/>
        <w:spacing w:before="600" w:after="600"/>
        <w:jc w:val="right"/>
        <w:rPr>
          <w:rFonts w:ascii="Times New Roman" w:hAnsi="Times New Roman"/>
          <w:b w:val="0"/>
          <w:spacing w:val="40"/>
          <w:szCs w:val="24"/>
        </w:rPr>
      </w:pPr>
      <w:bookmarkStart w:id="0" w:name="_GoBack"/>
      <w:bookmarkEnd w:id="0"/>
      <w:r>
        <w:rPr>
          <w:rFonts w:ascii="Times New Roman" w:hAnsi="Times New Roman"/>
          <w:b w:val="0"/>
          <w:spacing w:val="40"/>
          <w:szCs w:val="24"/>
        </w:rPr>
        <w:t>I</w:t>
      </w:r>
      <w:r w:rsidR="004A1C7B">
        <w:rPr>
          <w:rFonts w:ascii="Times New Roman" w:hAnsi="Times New Roman"/>
          <w:b w:val="0"/>
          <w:spacing w:val="40"/>
          <w:szCs w:val="24"/>
        </w:rPr>
        <w:t>II</w:t>
      </w:r>
      <w:r>
        <w:rPr>
          <w:rFonts w:ascii="Times New Roman" w:hAnsi="Times New Roman"/>
          <w:b w:val="0"/>
          <w:spacing w:val="40"/>
          <w:szCs w:val="24"/>
        </w:rPr>
        <w:t>.</w:t>
      </w:r>
    </w:p>
    <w:p w:rsidR="00125547" w:rsidRDefault="00125547" w:rsidP="00686D13">
      <w:pPr>
        <w:pStyle w:val="WW-Zkladntext2"/>
        <w:keepNext/>
        <w:keepLines/>
        <w:spacing w:before="600" w:after="600"/>
        <w:jc w:val="center"/>
        <w:rPr>
          <w:rFonts w:ascii="Times New Roman" w:hAnsi="Times New Roman"/>
          <w:b w:val="0"/>
          <w:spacing w:val="40"/>
          <w:szCs w:val="24"/>
        </w:rPr>
      </w:pPr>
      <w:r>
        <w:rPr>
          <w:rFonts w:ascii="Times New Roman" w:hAnsi="Times New Roman"/>
          <w:b w:val="0"/>
          <w:spacing w:val="40"/>
          <w:szCs w:val="24"/>
        </w:rPr>
        <w:t>N</w:t>
      </w:r>
      <w:r w:rsidRPr="00AD2A00">
        <w:rPr>
          <w:rFonts w:ascii="Times New Roman" w:hAnsi="Times New Roman"/>
          <w:b w:val="0"/>
          <w:spacing w:val="40"/>
          <w:szCs w:val="24"/>
        </w:rPr>
        <w:t>ávrh</w:t>
      </w:r>
    </w:p>
    <w:p w:rsidR="00125547" w:rsidRPr="00AD2A00" w:rsidRDefault="00125547" w:rsidP="00686D13">
      <w:pPr>
        <w:keepNext/>
        <w:keepLines/>
        <w:spacing w:line="360" w:lineRule="auto"/>
        <w:jc w:val="center"/>
        <w:rPr>
          <w:rFonts w:ascii="Times New Roman" w:hAnsi="Times New Roman"/>
          <w:b/>
          <w:szCs w:val="24"/>
        </w:rPr>
      </w:pPr>
      <w:r w:rsidRPr="00AD2A00">
        <w:rPr>
          <w:rFonts w:ascii="Times New Roman" w:hAnsi="Times New Roman"/>
          <w:b/>
          <w:szCs w:val="24"/>
        </w:rPr>
        <w:t>ZÁKON</w:t>
      </w:r>
    </w:p>
    <w:p w:rsidR="00125547" w:rsidRPr="00AD2A00" w:rsidRDefault="00125547" w:rsidP="00686D13">
      <w:pPr>
        <w:keepNext/>
        <w:keepLines/>
        <w:spacing w:line="360" w:lineRule="auto"/>
        <w:jc w:val="center"/>
        <w:rPr>
          <w:rFonts w:ascii="Times New Roman" w:hAnsi="Times New Roman"/>
          <w:szCs w:val="24"/>
        </w:rPr>
      </w:pPr>
      <w:r w:rsidRPr="00AD2A00">
        <w:rPr>
          <w:rFonts w:ascii="Times New Roman" w:hAnsi="Times New Roman"/>
          <w:szCs w:val="24"/>
        </w:rPr>
        <w:t>ze dne</w:t>
      </w:r>
      <w:r>
        <w:rPr>
          <w:rFonts w:ascii="Times New Roman" w:hAnsi="Times New Roman"/>
          <w:szCs w:val="24"/>
        </w:rPr>
        <w:tab/>
      </w:r>
      <w:r w:rsidRPr="00AD2A00">
        <w:rPr>
          <w:rFonts w:ascii="Times New Roman" w:hAnsi="Times New Roman"/>
          <w:szCs w:val="24"/>
        </w:rPr>
        <w:tab/>
      </w:r>
      <w:r w:rsidRPr="00AD2A00">
        <w:rPr>
          <w:rFonts w:ascii="Times New Roman" w:hAnsi="Times New Roman"/>
          <w:bCs/>
          <w:szCs w:val="24"/>
        </w:rPr>
        <w:t>201</w:t>
      </w:r>
      <w:r>
        <w:rPr>
          <w:rFonts w:ascii="Times New Roman" w:hAnsi="Times New Roman"/>
          <w:bCs/>
          <w:szCs w:val="24"/>
        </w:rPr>
        <w:t>6</w:t>
      </w:r>
      <w:r w:rsidRPr="00AD2A00">
        <w:rPr>
          <w:rFonts w:ascii="Times New Roman" w:hAnsi="Times New Roman"/>
          <w:szCs w:val="24"/>
        </w:rPr>
        <w:t>,</w:t>
      </w:r>
    </w:p>
    <w:p w:rsidR="00125547" w:rsidRPr="00AD2A00" w:rsidRDefault="00125547" w:rsidP="00686D13">
      <w:pPr>
        <w:keepNext/>
        <w:keepLines/>
        <w:spacing w:after="2040" w:line="360" w:lineRule="auto"/>
        <w:jc w:val="center"/>
        <w:rPr>
          <w:rFonts w:ascii="Times New Roman" w:hAnsi="Times New Roman"/>
          <w:bCs/>
          <w:szCs w:val="24"/>
        </w:rPr>
      </w:pPr>
      <w:r w:rsidRPr="00AD2A00">
        <w:rPr>
          <w:rFonts w:ascii="Times New Roman" w:hAnsi="Times New Roman"/>
          <w:szCs w:val="24"/>
        </w:rPr>
        <w:t xml:space="preserve">kterým se mění </w:t>
      </w:r>
      <w:r w:rsidRPr="00AD2A00">
        <w:rPr>
          <w:rFonts w:ascii="Times New Roman" w:hAnsi="Times New Roman"/>
          <w:bCs/>
          <w:szCs w:val="24"/>
        </w:rPr>
        <w:t>zákon č. 563/1991 Sb.</w:t>
      </w:r>
      <w:r>
        <w:rPr>
          <w:rFonts w:ascii="Times New Roman" w:hAnsi="Times New Roman"/>
          <w:bCs/>
          <w:szCs w:val="24"/>
        </w:rPr>
        <w:t>,</w:t>
      </w:r>
      <w:r w:rsidRPr="00AD2A00">
        <w:rPr>
          <w:rFonts w:ascii="Times New Roman" w:hAnsi="Times New Roman"/>
          <w:szCs w:val="24"/>
        </w:rPr>
        <w:t xml:space="preserve"> o účetnictví, ve znění pozdějších předpisů</w:t>
      </w:r>
    </w:p>
    <w:p w:rsidR="00125547" w:rsidRPr="00AD2A00" w:rsidRDefault="00125547" w:rsidP="00686D13">
      <w:pPr>
        <w:keepNext/>
        <w:keepLines/>
        <w:spacing w:line="360" w:lineRule="auto"/>
        <w:rPr>
          <w:rFonts w:ascii="Times New Roman" w:hAnsi="Times New Roman"/>
          <w:szCs w:val="24"/>
        </w:rPr>
      </w:pPr>
      <w:r w:rsidRPr="00AD2A00">
        <w:rPr>
          <w:rFonts w:ascii="Times New Roman" w:hAnsi="Times New Roman"/>
          <w:szCs w:val="24"/>
        </w:rPr>
        <w:t>Parlament se usnesl na tomto zákoně České republiky:</w:t>
      </w:r>
    </w:p>
    <w:p w:rsidR="00125547" w:rsidRPr="00AD2A00" w:rsidRDefault="00125547" w:rsidP="00686D13">
      <w:pPr>
        <w:keepNext/>
        <w:keepLines/>
        <w:spacing w:line="360" w:lineRule="auto"/>
        <w:rPr>
          <w:rFonts w:ascii="Times New Roman" w:hAnsi="Times New Roman"/>
          <w:szCs w:val="24"/>
        </w:rPr>
      </w:pPr>
    </w:p>
    <w:p w:rsidR="00125547" w:rsidRPr="00686D13" w:rsidRDefault="00125547" w:rsidP="00686D13">
      <w:pPr>
        <w:keepNext/>
        <w:keepLines/>
        <w:spacing w:line="360" w:lineRule="auto"/>
        <w:jc w:val="center"/>
        <w:rPr>
          <w:rFonts w:ascii="Times New Roman" w:hAnsi="Times New Roman"/>
          <w:szCs w:val="24"/>
        </w:rPr>
      </w:pPr>
      <w:r w:rsidRPr="00686D13">
        <w:rPr>
          <w:rFonts w:ascii="Times New Roman" w:hAnsi="Times New Roman"/>
          <w:szCs w:val="24"/>
        </w:rPr>
        <w:t>Čl. I</w:t>
      </w:r>
    </w:p>
    <w:p w:rsidR="00125547" w:rsidRPr="00AD2A00" w:rsidRDefault="00125547" w:rsidP="00686D13">
      <w:pPr>
        <w:pStyle w:val="Textlnku"/>
        <w:keepNext/>
        <w:keepLines/>
        <w:spacing w:before="0"/>
        <w:ind w:firstLine="0"/>
        <w:rPr>
          <w:sz w:val="24"/>
          <w:szCs w:val="24"/>
        </w:rPr>
      </w:pPr>
      <w:r w:rsidRPr="00AD2A00">
        <w:t xml:space="preserve">     </w:t>
      </w:r>
      <w:r w:rsidRPr="00AD2A00">
        <w:rPr>
          <w:sz w:val="24"/>
          <w:szCs w:val="24"/>
        </w:rPr>
        <w:t>Zákon č. 563/1991 Sb., o účetnictví, ve znění zákona č. 117/1994 Sb., zákona č. 227/1997 Sb., zákona č. 492/2000 Sb., zákona č. 353/2001 Sb., zákona č. 575/2002 Sb., zákona č. 437/2003 Sb., zákona č. 257/2004 Sb., zákona č. 669/2004 Sb., zákona č. 179/2005 Sb., zákona č. 495/2005 Sb., zákona č. 57/2006 Sb., zákona č. 81/2006 Sb., zákona č. 230/2006 Sb., zákona č. 264/2006 Sb., zákona č. 69/2007 Sb., zákona č. 261/2007 Sb., zákona č. 296/2007 Sb., zákona č. 348/2007 Sb., zákona č. 126/2008 Sb., zákona č. 304/2008 Sb., zákona č. 227/2009 Sb., zákona č. 230/2009 Sb., zákona č. 410/2010 Sb., zákona č. 188/2011 Sb</w:t>
      </w:r>
      <w:r w:rsidRPr="00AD2A00">
        <w:rPr>
          <w:color w:val="000000"/>
          <w:sz w:val="24"/>
          <w:szCs w:val="24"/>
        </w:rPr>
        <w:t>.,</w:t>
      </w:r>
      <w:r w:rsidRPr="00AD2A00">
        <w:rPr>
          <w:sz w:val="24"/>
          <w:szCs w:val="24"/>
        </w:rPr>
        <w:t xml:space="preserve"> zákona č. 355/2011 Sb., zákona č. 428/2011 Sb., zákona č. 458/2011 Sb., zákona č. 167/2012 Sb., zákona č. 239/2012 Sb., zákona č. 503/2012 Sb., zákonného opatření Senátu č. 344/2013 Sb. a zákona č. 221/2015 Sb., se mění takto: </w:t>
      </w:r>
    </w:p>
    <w:p w:rsidR="00125547" w:rsidRPr="00AD2A00" w:rsidRDefault="00125547" w:rsidP="00686D13">
      <w:pPr>
        <w:pStyle w:val="Textlnku"/>
        <w:keepNext/>
        <w:keepLines/>
        <w:spacing w:before="0"/>
        <w:ind w:firstLine="0"/>
        <w:rPr>
          <w:sz w:val="24"/>
          <w:szCs w:val="24"/>
        </w:rPr>
      </w:pP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1 odst. 2 písm. d) se slova „v obchodním“ nahrazují slovy „ve veřejném“.</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 xml:space="preserve">V § </w:t>
      </w:r>
      <w:smartTag w:uri="urn:schemas-microsoft-com:office:smarttags" w:element="metricconverter">
        <w:smartTagPr>
          <w:attr w:name="ProductID" w:val="1f"/>
        </w:smartTagPr>
        <w:r>
          <w:rPr>
            <w:sz w:val="24"/>
            <w:szCs w:val="24"/>
          </w:rPr>
          <w:t>1f</w:t>
        </w:r>
      </w:smartTag>
      <w:r>
        <w:rPr>
          <w:sz w:val="24"/>
          <w:szCs w:val="24"/>
        </w:rPr>
        <w:t xml:space="preserve"> odst. 1 písm. d) bodu </w:t>
      </w:r>
      <w:smartTag w:uri="urn:schemas-microsoft-com:office:smarttags" w:element="metricconverter">
        <w:smartTagPr>
          <w:attr w:name="ProductID" w:val="2 a"/>
        </w:smartTagPr>
        <w:r>
          <w:rPr>
            <w:sz w:val="24"/>
            <w:szCs w:val="24"/>
          </w:rPr>
          <w:t>2 a</w:t>
        </w:r>
      </w:smartTag>
      <w:r>
        <w:rPr>
          <w:sz w:val="24"/>
          <w:szCs w:val="24"/>
        </w:rPr>
        <w:t xml:space="preserve"> § 9 odst. 4 písm. b) se slova „ ,pobočnou odborovou organizací, mezinárodní odborovou organizací a pobočnou mezinárodní odborovou organizací“ nahrazují slovy „a mezinárodní odborovou organizací“.</w:t>
      </w:r>
    </w:p>
    <w:p w:rsidR="00125547" w:rsidRDefault="00125547" w:rsidP="00B46914">
      <w:pPr>
        <w:pStyle w:val="Textlnku"/>
        <w:keepNext/>
        <w:keepLines/>
        <w:numPr>
          <w:ilvl w:val="0"/>
          <w:numId w:val="2"/>
        </w:numPr>
        <w:spacing w:before="0" w:after="240"/>
        <w:ind w:left="426" w:hanging="426"/>
        <w:rPr>
          <w:sz w:val="24"/>
          <w:szCs w:val="24"/>
        </w:rPr>
      </w:pPr>
      <w:r>
        <w:rPr>
          <w:sz w:val="24"/>
          <w:szCs w:val="24"/>
        </w:rPr>
        <w:t xml:space="preserve">V § </w:t>
      </w:r>
      <w:smartTag w:uri="urn:schemas-microsoft-com:office:smarttags" w:element="metricconverter">
        <w:smartTagPr>
          <w:attr w:name="ProductID" w:val="1f"/>
        </w:smartTagPr>
        <w:r>
          <w:rPr>
            <w:sz w:val="24"/>
            <w:szCs w:val="24"/>
          </w:rPr>
          <w:t>1f</w:t>
        </w:r>
      </w:smartTag>
      <w:r>
        <w:rPr>
          <w:sz w:val="24"/>
          <w:szCs w:val="24"/>
        </w:rPr>
        <w:t xml:space="preserve"> odst. 1 písm. d) bodu </w:t>
      </w:r>
      <w:smartTag w:uri="urn:schemas-microsoft-com:office:smarttags" w:element="metricconverter">
        <w:smartTagPr>
          <w:attr w:name="ProductID" w:val="3 a"/>
        </w:smartTagPr>
        <w:r>
          <w:rPr>
            <w:sz w:val="24"/>
            <w:szCs w:val="24"/>
          </w:rPr>
          <w:t>3 a</w:t>
        </w:r>
      </w:smartTag>
      <w:r>
        <w:rPr>
          <w:sz w:val="24"/>
          <w:szCs w:val="24"/>
        </w:rPr>
        <w:t xml:space="preserve"> § 9 odst. 4 písm. c) se slova „ </w:t>
      </w:r>
      <w:r w:rsidRPr="00B46914">
        <w:rPr>
          <w:sz w:val="24"/>
          <w:szCs w:val="24"/>
        </w:rPr>
        <w:t>, pobočnou organizací zaměstnavatelů, mezinárodní organizací zaměstnavatelů a pobočnou mezinárodní organizací zaměstnavatelů</w:t>
      </w:r>
      <w:r>
        <w:rPr>
          <w:sz w:val="24"/>
          <w:szCs w:val="24"/>
        </w:rPr>
        <w:t>“ nahrazují slovy „a mezinárodní organizací zaměstnavatelů“.</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lastRenderedPageBreak/>
        <w:t>V § 3 odst. 3 se slova „přeměn obchodních korporací“ nahrazují slovy „přeměny účetní jednotky“, slova „zvláštního právního předpisu“ se nahrazují slovy „právních předpisů upravujících přeměny“, slova „obchodní korporace“ se zrušují a slovo „obchodního“ se nahrazuje slovem „veřejného“.</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3 odst. 4 písm. e) a § 3 odst. 6 písm. b) se slova „obchodní korporace do obchodního“ nahrazují slovy „do veřejného“.</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4 odst. 2 se slovo „obchodního“ nahrazuje slovem „veřejného“.</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4 odst. 8 písm. v) se slova „společnosti“ a „obchodní korporace“ zrušují a slova „obchodního“ se nahrazují slovy „veřejného“.</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17 odst. 2 písm. d) se slova „obchodních korporací“ zrušují.</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 xml:space="preserve">V § 17 odstavec 3 zní: </w:t>
      </w:r>
    </w:p>
    <w:p w:rsidR="00125547" w:rsidRDefault="00125547" w:rsidP="00033F0A">
      <w:pPr>
        <w:pStyle w:val="Textlnku"/>
        <w:keepNext/>
        <w:keepLines/>
        <w:spacing w:after="240"/>
        <w:ind w:left="425" w:firstLine="0"/>
        <w:rPr>
          <w:sz w:val="24"/>
          <w:szCs w:val="24"/>
        </w:rPr>
      </w:pPr>
      <w:r w:rsidRPr="00033F0A">
        <w:rPr>
          <w:sz w:val="24"/>
          <w:szCs w:val="24"/>
        </w:rPr>
        <w:t>„(3) Účetní jednotky zúčastněné na přeměně obchodní korporace podle zákona upravujícího přeměny obchodních společností a družstev otevírají účetní knihy k rozhodnému dni přeměny obchodní korporace a vedou účetnictví samostatně od rozhodného dne přeměny do dne zápisu přeměny do veřejného rejstříku. Nástupnická účetní jednotka, která nebyla zúčastněnou účetní jednotkou, otevírá účetní knihy ke dni zápisu přeměny obchodní korporace do veřejného rejstříku s účinky od rozhodného dne v souladu s metodou přeměny. Ke dni zápisu přeměny do veřejného rejstříku, ke dni předcházejícímu ani ke dni následujícímu po dni zápisu přeměny do veřejného rejstříku se účetní závěrka nesestavuje, není-li dále stanoveno jinak. Účetní závěrku nesestavují zanikající účetní jednotky k poslednímu dni účetního období po rozhodném dni, pokud se den zápisu přeměny uskuteční až v následujícím účetním období.“</w:t>
      </w:r>
      <w:r>
        <w:rPr>
          <w:sz w:val="24"/>
          <w:szCs w:val="24"/>
        </w:rPr>
        <w:t>.</w:t>
      </w:r>
      <w:r w:rsidRPr="00033F0A">
        <w:rPr>
          <w:sz w:val="24"/>
          <w:szCs w:val="24"/>
        </w:rPr>
        <w:t xml:space="preserve"> </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17 odst. 4 se slovo „obchodního“ nahrazuje slovem „veřejného“.</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17 odst. 5 se slova „obchodní korporace“ zrušují.</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17 odst. 6 se slovo „společnosti“ zrušuje, slovo „obchodního“ se nahrazuje slovem „veřejného“ a slova „obchodní korporace“ se zrušují.</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17 se doplňuje odstavec 9, který včetně poznámky pod čarou č. 41 zní:</w:t>
      </w:r>
    </w:p>
    <w:p w:rsidR="00125547" w:rsidRDefault="006F7CFD" w:rsidP="002F5B5B">
      <w:pPr>
        <w:pStyle w:val="Textlnku"/>
        <w:keepNext/>
        <w:keepLines/>
        <w:spacing w:before="0" w:after="240"/>
        <w:ind w:left="425" w:firstLine="0"/>
        <w:rPr>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287655</wp:posOffset>
                </wp:positionH>
                <wp:positionV relativeFrom="paragraph">
                  <wp:posOffset>481330</wp:posOffset>
                </wp:positionV>
                <wp:extent cx="1282700" cy="0"/>
                <wp:effectExtent l="11430" t="5080" r="10795" b="1397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37.9pt" to="123.6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"/>
            </w:pict>
          </mc:Fallback>
        </mc:AlternateContent>
      </w:r>
      <w:r w:rsidR="00125547">
        <w:rPr>
          <w:sz w:val="24"/>
          <w:szCs w:val="24"/>
        </w:rPr>
        <w:t xml:space="preserve">„(9) </w:t>
      </w:r>
      <w:r w:rsidR="00125547" w:rsidRPr="006B1801">
        <w:rPr>
          <w:sz w:val="24"/>
          <w:szCs w:val="24"/>
        </w:rPr>
        <w:t>Účetní jednotka, která není obchodní korporací a která postupuje při přeměnách podle zvláštního právního předpisu</w:t>
      </w:r>
      <w:r w:rsidR="00125547">
        <w:rPr>
          <w:sz w:val="24"/>
          <w:szCs w:val="24"/>
          <w:vertAlign w:val="superscript"/>
        </w:rPr>
        <w:t>41</w:t>
      </w:r>
      <w:r w:rsidR="00125547" w:rsidRPr="00F46260">
        <w:rPr>
          <w:sz w:val="24"/>
          <w:szCs w:val="24"/>
          <w:vertAlign w:val="superscript"/>
        </w:rPr>
        <w:t>)</w:t>
      </w:r>
      <w:r w:rsidR="00125547" w:rsidRPr="006B1801">
        <w:rPr>
          <w:sz w:val="24"/>
          <w:szCs w:val="24"/>
        </w:rPr>
        <w:t xml:space="preserve"> použije odstavce 3 až 8 obdobně.</w:t>
      </w:r>
    </w:p>
    <w:p w:rsidR="00125547" w:rsidRDefault="00125547" w:rsidP="00F46260">
      <w:pPr>
        <w:pStyle w:val="Textlnku"/>
        <w:keepNext/>
        <w:keepLines/>
        <w:spacing w:before="0" w:after="240"/>
        <w:ind w:left="425" w:firstLine="0"/>
        <w:rPr>
          <w:sz w:val="24"/>
          <w:szCs w:val="24"/>
        </w:rPr>
      </w:pPr>
      <w:r w:rsidRPr="00F46260">
        <w:rPr>
          <w:sz w:val="24"/>
          <w:szCs w:val="24"/>
          <w:vertAlign w:val="superscript"/>
        </w:rPr>
        <w:t>41)</w:t>
      </w:r>
      <w:r w:rsidRPr="002F5B5B">
        <w:rPr>
          <w:sz w:val="24"/>
          <w:szCs w:val="24"/>
        </w:rPr>
        <w:t xml:space="preserve"> </w:t>
      </w:r>
      <w:r w:rsidRPr="00F46260">
        <w:rPr>
          <w:sz w:val="24"/>
          <w:szCs w:val="24"/>
        </w:rPr>
        <w:t xml:space="preserve">Například zákon č. 89/2012 Sb., občanský zákoník, zákon č. 240/2013 Sb., o investičních společnostech a investičních fondech, ve znění </w:t>
      </w:r>
      <w:r>
        <w:rPr>
          <w:sz w:val="24"/>
          <w:szCs w:val="24"/>
        </w:rPr>
        <w:t>pozdějších předpisů</w:t>
      </w:r>
      <w:r w:rsidRPr="00F46260">
        <w:rPr>
          <w:sz w:val="24"/>
          <w:szCs w:val="24"/>
        </w:rPr>
        <w:t>, zákon č. 426/2011 Sb., o důchodovém spoření, ve znění pozdějších předpisů, zákon č. 427/2011 Sb., o doplňkovém penzijním spoření, ve znění pozdějších předpisů.</w:t>
      </w:r>
      <w:r>
        <w:rPr>
          <w:sz w:val="24"/>
          <w:szCs w:val="24"/>
        </w:rPr>
        <w:t>“.</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18 odst. 3 písm. f) se slova „obchodní korporace“ zrušují a slovo „obchodního“ se nahrazuje slovem „veřejného“.</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lastRenderedPageBreak/>
        <w:t>V § 19 odst. 8 se za větu druhou vkládají věty „Pro vykazování v účetní závěrce se aktiva mohou členit na stálá a oběžná. Stálými aktivy se rozumí taková aktiva, která jsou dlouhodobým majetkem, s výjimkou dlouhodobých pohledávek. Ostatní aktiva jsou vykazována jako oběžná aktiva.“.</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21a odst. 1 se za slovo „do“ vkládá slovo „veřejného“.</w:t>
      </w:r>
    </w:p>
    <w:p w:rsidR="00D66795" w:rsidRDefault="00D66795" w:rsidP="00686D13">
      <w:pPr>
        <w:pStyle w:val="Textlnku"/>
        <w:keepNext/>
        <w:keepLines/>
        <w:numPr>
          <w:ilvl w:val="0"/>
          <w:numId w:val="2"/>
        </w:numPr>
        <w:spacing w:before="0" w:after="240"/>
        <w:ind w:left="425" w:hanging="425"/>
        <w:rPr>
          <w:sz w:val="24"/>
          <w:szCs w:val="24"/>
        </w:rPr>
      </w:pPr>
      <w:r>
        <w:rPr>
          <w:sz w:val="24"/>
          <w:szCs w:val="24"/>
        </w:rPr>
        <w:t>V § 24 odst. 3 písm. a) se slova „obchodní korporace“ zrušují.</w:t>
      </w:r>
    </w:p>
    <w:p w:rsidR="00D66795" w:rsidRDefault="00D66795" w:rsidP="00686D13">
      <w:pPr>
        <w:pStyle w:val="Textlnku"/>
        <w:keepNext/>
        <w:keepLines/>
        <w:numPr>
          <w:ilvl w:val="0"/>
          <w:numId w:val="2"/>
        </w:numPr>
        <w:spacing w:before="0" w:after="240"/>
        <w:ind w:left="425" w:hanging="425"/>
        <w:rPr>
          <w:sz w:val="24"/>
          <w:szCs w:val="24"/>
        </w:rPr>
      </w:pPr>
      <w:r>
        <w:rPr>
          <w:sz w:val="24"/>
          <w:szCs w:val="24"/>
        </w:rPr>
        <w:t>V § 24 odst. 5 se slova „vyžadovaném zákonem o přeměnách obchodních společností a družstev“ nahrazují slovy „při přeměnách“.</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27 odst. 1 písm. d) se slova „to neplatí v případech uvedených v odstavci 3“ zrušují.</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28 odst. 4 se za slovo „nájemce“ vkládají slova „nebo pachtýř“.</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Za část sedmou se vkládá nová část osmá, která včetně nadpisu zní:</w:t>
      </w:r>
    </w:p>
    <w:p w:rsidR="00125547" w:rsidRPr="00491104" w:rsidRDefault="00125547" w:rsidP="00686D13">
      <w:pPr>
        <w:keepNext/>
        <w:keepLines/>
        <w:jc w:val="center"/>
        <w:rPr>
          <w:rFonts w:ascii="Times New Roman" w:hAnsi="Times New Roman"/>
          <w:b/>
          <w:szCs w:val="24"/>
          <w:u w:val="single"/>
          <w:lang w:eastAsia="en-US"/>
        </w:rPr>
      </w:pPr>
      <w:r w:rsidRPr="00D33784">
        <w:rPr>
          <w:szCs w:val="24"/>
          <w:u w:val="single"/>
        </w:rPr>
        <w:t>„</w:t>
      </w:r>
      <w:r w:rsidRPr="00491104">
        <w:rPr>
          <w:rFonts w:ascii="Times New Roman" w:hAnsi="Times New Roman"/>
          <w:b/>
          <w:szCs w:val="24"/>
          <w:u w:val="single"/>
          <w:lang w:eastAsia="en-US"/>
        </w:rPr>
        <w:t>ČÁST OSMÁ</w:t>
      </w:r>
    </w:p>
    <w:p w:rsidR="00125547" w:rsidRPr="00491104" w:rsidRDefault="00125547" w:rsidP="00686D13">
      <w:pPr>
        <w:keepNext/>
        <w:keepLines/>
        <w:suppressAutoHyphens w:val="0"/>
        <w:jc w:val="center"/>
        <w:rPr>
          <w:rFonts w:ascii="Times New Roman" w:hAnsi="Times New Roman"/>
          <w:b/>
          <w:szCs w:val="24"/>
          <w:u w:val="single"/>
          <w:lang w:eastAsia="en-US"/>
        </w:rPr>
      </w:pPr>
      <w:r w:rsidRPr="00491104">
        <w:rPr>
          <w:rFonts w:ascii="Times New Roman" w:hAnsi="Times New Roman"/>
          <w:b/>
          <w:szCs w:val="24"/>
          <w:u w:val="single"/>
          <w:lang w:eastAsia="en-US"/>
        </w:rPr>
        <w:t>UVÁDĚNÍ NEFINANČNÍCH INFORMACÍ</w:t>
      </w:r>
    </w:p>
    <w:p w:rsidR="00125547" w:rsidRPr="00D33784" w:rsidRDefault="00125547" w:rsidP="00686D13">
      <w:pPr>
        <w:keepNext/>
        <w:keepLines/>
        <w:suppressAutoHyphens w:val="0"/>
        <w:jc w:val="center"/>
        <w:rPr>
          <w:rFonts w:ascii="Times New Roman" w:hAnsi="Times New Roman"/>
          <w:szCs w:val="24"/>
          <w:u w:val="single"/>
          <w:lang w:eastAsia="en-US"/>
        </w:rPr>
      </w:pPr>
      <w:r w:rsidRPr="00D33784">
        <w:rPr>
          <w:rFonts w:ascii="Times New Roman" w:hAnsi="Times New Roman"/>
          <w:szCs w:val="24"/>
          <w:u w:val="single"/>
          <w:lang w:eastAsia="en-US"/>
        </w:rPr>
        <w:t xml:space="preserve">§ </w:t>
      </w:r>
      <w:smartTag w:uri="urn:schemas-microsoft-com:office:smarttags" w:element="metricconverter">
        <w:smartTagPr>
          <w:attr w:name="ProductID" w:val="32f"/>
        </w:smartTagPr>
        <w:r w:rsidRPr="00D33784">
          <w:rPr>
            <w:rFonts w:ascii="Times New Roman" w:hAnsi="Times New Roman"/>
            <w:szCs w:val="24"/>
            <w:u w:val="single"/>
            <w:lang w:eastAsia="en-US"/>
          </w:rPr>
          <w:t>32f</w:t>
        </w:r>
      </w:smartTag>
    </w:p>
    <w:p w:rsidR="00125547" w:rsidRPr="00491104" w:rsidRDefault="00125547" w:rsidP="00686D13">
      <w:pPr>
        <w:keepNext/>
        <w:keepLines/>
        <w:suppressAutoHyphens w:val="0"/>
        <w:jc w:val="center"/>
        <w:rPr>
          <w:rFonts w:ascii="Times New Roman" w:hAnsi="Times New Roman"/>
          <w:b/>
          <w:szCs w:val="24"/>
          <w:u w:val="single"/>
          <w:lang w:eastAsia="en-US"/>
        </w:rPr>
      </w:pPr>
      <w:r w:rsidRPr="00491104">
        <w:rPr>
          <w:rFonts w:ascii="Times New Roman" w:hAnsi="Times New Roman"/>
          <w:b/>
          <w:szCs w:val="24"/>
          <w:u w:val="single"/>
          <w:lang w:eastAsia="en-US"/>
        </w:rPr>
        <w:t xml:space="preserve">Rozsah působnosti </w:t>
      </w:r>
    </w:p>
    <w:p w:rsidR="00125547" w:rsidRPr="00D33784" w:rsidRDefault="00125547" w:rsidP="00686D13">
      <w:pPr>
        <w:keepNext/>
        <w:keepLines/>
        <w:suppressAutoHyphens w:val="0"/>
        <w:jc w:val="center"/>
        <w:rPr>
          <w:rFonts w:ascii="Times New Roman" w:hAnsi="Times New Roman"/>
          <w:szCs w:val="24"/>
          <w:u w:val="single"/>
          <w:lang w:eastAsia="en-US"/>
        </w:rPr>
      </w:pPr>
    </w:p>
    <w:p w:rsidR="00125547" w:rsidRDefault="00125547" w:rsidP="00686D13">
      <w:pPr>
        <w:keepNext/>
        <w:keepLines/>
        <w:suppressAutoHyphens w:val="0"/>
        <w:ind w:firstLine="708"/>
        <w:jc w:val="both"/>
        <w:rPr>
          <w:rFonts w:ascii="Times New Roman" w:hAnsi="Times New Roman"/>
          <w:szCs w:val="24"/>
          <w:u w:val="single"/>
          <w:lang w:eastAsia="en-US"/>
        </w:rPr>
      </w:pPr>
      <w:r w:rsidRPr="00D33784">
        <w:rPr>
          <w:rFonts w:ascii="Times New Roman" w:hAnsi="Times New Roman"/>
          <w:szCs w:val="24"/>
          <w:u w:val="single"/>
          <w:lang w:eastAsia="en-US"/>
        </w:rPr>
        <w:t>Nefinanční informace uvádí</w:t>
      </w:r>
    </w:p>
    <w:p w:rsidR="00125547" w:rsidRPr="00FF5FDF" w:rsidRDefault="00125547" w:rsidP="00FF5FDF">
      <w:pPr>
        <w:pStyle w:val="Odstavecseseznamem"/>
        <w:keepNext/>
        <w:keepLines/>
        <w:numPr>
          <w:ilvl w:val="0"/>
          <w:numId w:val="5"/>
        </w:numPr>
        <w:suppressAutoHyphens w:val="0"/>
        <w:ind w:left="284" w:hanging="284"/>
        <w:jc w:val="both"/>
        <w:rPr>
          <w:rFonts w:ascii="Times New Roman" w:hAnsi="Times New Roman"/>
          <w:szCs w:val="24"/>
          <w:u w:val="single"/>
          <w:lang w:eastAsia="en-US"/>
        </w:rPr>
      </w:pPr>
      <w:r w:rsidRPr="00FF5FDF">
        <w:rPr>
          <w:rFonts w:ascii="Times New Roman" w:hAnsi="Times New Roman"/>
          <w:szCs w:val="24"/>
          <w:u w:val="single"/>
          <w:lang w:eastAsia="en-US"/>
        </w:rPr>
        <w:t xml:space="preserve">velká účetní jednotka, která je obchodní společností, a je zároveň subjektem veřejného zájmu, která k rozvahovému dni překročí kritérium průměrného počtu 500 zaměstnanců v průběhu účetního období, </w:t>
      </w:r>
    </w:p>
    <w:p w:rsidR="00125547" w:rsidRPr="00FF5FDF" w:rsidRDefault="00125547" w:rsidP="00FF5FDF">
      <w:pPr>
        <w:pStyle w:val="Odstavecseseznamem"/>
        <w:keepNext/>
        <w:keepLines/>
        <w:numPr>
          <w:ilvl w:val="0"/>
          <w:numId w:val="5"/>
        </w:numPr>
        <w:suppressAutoHyphens w:val="0"/>
        <w:ind w:left="284" w:hanging="284"/>
        <w:jc w:val="both"/>
        <w:rPr>
          <w:rFonts w:ascii="Times New Roman" w:hAnsi="Times New Roman"/>
          <w:szCs w:val="24"/>
          <w:u w:val="single"/>
          <w:lang w:eastAsia="en-US"/>
        </w:rPr>
      </w:pPr>
      <w:r w:rsidRPr="00FF5FDF">
        <w:rPr>
          <w:rFonts w:ascii="Times New Roman" w:hAnsi="Times New Roman"/>
          <w:szCs w:val="24"/>
          <w:u w:val="single"/>
          <w:lang w:eastAsia="en-US"/>
        </w:rPr>
        <w:t>konsolidující účetní jednotka velké skupiny účetních jednotek</w:t>
      </w:r>
      <w:r w:rsidR="007F17DA">
        <w:rPr>
          <w:rFonts w:ascii="Times New Roman" w:hAnsi="Times New Roman"/>
          <w:szCs w:val="24"/>
          <w:u w:val="single"/>
          <w:lang w:eastAsia="en-US"/>
        </w:rPr>
        <w:t>,</w:t>
      </w:r>
      <w:r w:rsidRPr="00FF5FDF">
        <w:rPr>
          <w:rFonts w:ascii="Times New Roman" w:hAnsi="Times New Roman"/>
          <w:szCs w:val="24"/>
          <w:u w:val="single"/>
          <w:lang w:eastAsia="en-US"/>
        </w:rPr>
        <w:t xml:space="preserve"> </w:t>
      </w:r>
      <w:r w:rsidR="007F17DA">
        <w:rPr>
          <w:rFonts w:ascii="Times New Roman" w:hAnsi="Times New Roman"/>
          <w:szCs w:val="24"/>
          <w:u w:val="single"/>
          <w:lang w:eastAsia="en-US"/>
        </w:rPr>
        <w:t>která</w:t>
      </w:r>
      <w:r w:rsidRPr="00FF5FDF">
        <w:rPr>
          <w:rFonts w:ascii="Times New Roman" w:hAnsi="Times New Roman"/>
          <w:szCs w:val="24"/>
          <w:u w:val="single"/>
          <w:lang w:eastAsia="en-US"/>
        </w:rPr>
        <w:t xml:space="preserve"> je zároveň subjektem veřejného zájmu, která k rozvahovému dni překročí na konsolidovaném základě kritérium průměrného počtu 500 zaměstnanců v průběhu účetního období.</w:t>
      </w:r>
    </w:p>
    <w:p w:rsidR="00125547" w:rsidRPr="00D33784" w:rsidRDefault="00125547" w:rsidP="00686D13">
      <w:pPr>
        <w:keepNext/>
        <w:keepLines/>
        <w:suppressAutoHyphens w:val="0"/>
        <w:jc w:val="both"/>
        <w:rPr>
          <w:rFonts w:ascii="Times New Roman" w:hAnsi="Times New Roman"/>
          <w:szCs w:val="24"/>
          <w:u w:val="single"/>
          <w:lang w:eastAsia="en-US"/>
        </w:rPr>
      </w:pPr>
    </w:p>
    <w:p w:rsidR="00125547" w:rsidRPr="00D33784" w:rsidRDefault="00125547" w:rsidP="00686D13">
      <w:pPr>
        <w:keepNext/>
        <w:keepLines/>
        <w:suppressAutoHyphens w:val="0"/>
        <w:jc w:val="center"/>
        <w:rPr>
          <w:rFonts w:ascii="Times New Roman" w:hAnsi="Times New Roman"/>
          <w:szCs w:val="24"/>
          <w:u w:val="single"/>
          <w:lang w:eastAsia="en-US"/>
        </w:rPr>
      </w:pPr>
      <w:r w:rsidRPr="00D33784">
        <w:rPr>
          <w:rFonts w:ascii="Times New Roman" w:hAnsi="Times New Roman"/>
          <w:szCs w:val="24"/>
          <w:u w:val="single"/>
          <w:lang w:eastAsia="en-US"/>
        </w:rPr>
        <w:t>§ 32g</w:t>
      </w:r>
    </w:p>
    <w:p w:rsidR="00125547" w:rsidRPr="00491104" w:rsidRDefault="00125547" w:rsidP="00686D13">
      <w:pPr>
        <w:keepNext/>
        <w:keepLines/>
        <w:suppressAutoHyphens w:val="0"/>
        <w:jc w:val="center"/>
        <w:rPr>
          <w:rFonts w:ascii="Times New Roman" w:hAnsi="Times New Roman"/>
          <w:b/>
          <w:szCs w:val="24"/>
          <w:u w:val="single"/>
          <w:lang w:eastAsia="en-US"/>
        </w:rPr>
      </w:pPr>
      <w:r w:rsidRPr="00491104">
        <w:rPr>
          <w:rFonts w:ascii="Times New Roman" w:hAnsi="Times New Roman"/>
          <w:b/>
          <w:szCs w:val="24"/>
          <w:u w:val="single"/>
          <w:lang w:eastAsia="en-US"/>
        </w:rPr>
        <w:t xml:space="preserve">Nefinanční informace </w:t>
      </w:r>
    </w:p>
    <w:p w:rsidR="00125547" w:rsidRPr="00D33784" w:rsidRDefault="00125547" w:rsidP="00686D13">
      <w:pPr>
        <w:keepNext/>
        <w:keepLines/>
        <w:suppressAutoHyphens w:val="0"/>
        <w:jc w:val="center"/>
        <w:rPr>
          <w:rFonts w:ascii="Times New Roman" w:hAnsi="Times New Roman"/>
          <w:szCs w:val="24"/>
          <w:u w:val="single"/>
          <w:lang w:eastAsia="en-US"/>
        </w:rPr>
      </w:pPr>
    </w:p>
    <w:p w:rsidR="00125547" w:rsidRPr="00D33784" w:rsidRDefault="00125547" w:rsidP="00686D13">
      <w:pPr>
        <w:keepNext/>
        <w:keepLines/>
        <w:suppressAutoHyphens w:val="0"/>
        <w:ind w:firstLine="708"/>
        <w:jc w:val="both"/>
        <w:rPr>
          <w:rFonts w:ascii="Times New Roman" w:hAnsi="Times New Roman"/>
          <w:szCs w:val="24"/>
          <w:u w:val="single"/>
          <w:lang w:eastAsia="en-US"/>
        </w:rPr>
      </w:pPr>
      <w:r w:rsidRPr="00D33784">
        <w:rPr>
          <w:rFonts w:ascii="Times New Roman" w:hAnsi="Times New Roman"/>
          <w:szCs w:val="24"/>
          <w:u w:val="single"/>
          <w:lang w:eastAsia="en-US"/>
        </w:rPr>
        <w:t xml:space="preserve">(1) Účetní jednotka a konsolidující účetní jednotka uvedená v § </w:t>
      </w:r>
      <w:smartTag w:uri="urn:schemas-microsoft-com:office:smarttags" w:element="metricconverter">
        <w:smartTagPr>
          <w:attr w:name="ProductID" w:val="32f"/>
        </w:smartTagPr>
        <w:r w:rsidRPr="00D33784">
          <w:rPr>
            <w:rFonts w:ascii="Times New Roman" w:hAnsi="Times New Roman"/>
            <w:szCs w:val="24"/>
            <w:u w:val="single"/>
            <w:lang w:eastAsia="en-US"/>
          </w:rPr>
          <w:t>32f</w:t>
        </w:r>
      </w:smartTag>
      <w:r w:rsidRPr="00D33784">
        <w:rPr>
          <w:rFonts w:ascii="Times New Roman" w:hAnsi="Times New Roman"/>
          <w:szCs w:val="24"/>
          <w:u w:val="single"/>
          <w:lang w:eastAsia="en-US"/>
        </w:rPr>
        <w:t xml:space="preserve"> uvede</w:t>
      </w:r>
      <w:r w:rsidR="00017BD6">
        <w:rPr>
          <w:rFonts w:ascii="Times New Roman" w:hAnsi="Times New Roman"/>
          <w:szCs w:val="24"/>
          <w:u w:val="single"/>
          <w:lang w:eastAsia="en-US"/>
        </w:rPr>
        <w:t xml:space="preserve"> </w:t>
      </w:r>
      <w:r w:rsidRPr="00D33784">
        <w:rPr>
          <w:rFonts w:ascii="Times New Roman" w:hAnsi="Times New Roman"/>
          <w:szCs w:val="24"/>
          <w:u w:val="single"/>
          <w:lang w:eastAsia="en-US"/>
        </w:rPr>
        <w:t>v rozsahu potřebném k pochopení vývoje účetní jednotky</w:t>
      </w:r>
      <w:r>
        <w:rPr>
          <w:rFonts w:ascii="Times New Roman" w:hAnsi="Times New Roman"/>
          <w:szCs w:val="24"/>
          <w:u w:val="single"/>
          <w:lang w:eastAsia="en-US"/>
        </w:rPr>
        <w:t xml:space="preserve"> a konsolidující účetní jednotky</w:t>
      </w:r>
      <w:r w:rsidRPr="00D33784">
        <w:rPr>
          <w:rFonts w:ascii="Times New Roman" w:hAnsi="Times New Roman"/>
          <w:szCs w:val="24"/>
          <w:u w:val="single"/>
          <w:lang w:eastAsia="en-US"/>
        </w:rPr>
        <w:t xml:space="preserve">, její výkonnosti a postavení a dopadů její činnosti, nefinanční informace týkající se alespoň otázek životního prostředí, sociálních a zaměstnaneckých otázek, </w:t>
      </w:r>
      <w:r w:rsidR="005047E0">
        <w:rPr>
          <w:rFonts w:ascii="Times New Roman" w:hAnsi="Times New Roman"/>
          <w:szCs w:val="24"/>
          <w:u w:val="single"/>
          <w:lang w:eastAsia="en-US"/>
        </w:rPr>
        <w:t>respektování</w:t>
      </w:r>
      <w:r w:rsidRPr="00D33784">
        <w:rPr>
          <w:rFonts w:ascii="Times New Roman" w:hAnsi="Times New Roman"/>
          <w:szCs w:val="24"/>
          <w:u w:val="single"/>
          <w:lang w:eastAsia="en-US"/>
        </w:rPr>
        <w:t xml:space="preserve"> lidských práv a boje proti korupci a úplatkářství, včetně</w:t>
      </w:r>
    </w:p>
    <w:p w:rsidR="00125547" w:rsidRPr="00D33784" w:rsidRDefault="00125547" w:rsidP="00686D13">
      <w:pPr>
        <w:keepNext/>
        <w:keepLines/>
        <w:suppressAutoHyphens w:val="0"/>
        <w:jc w:val="both"/>
        <w:rPr>
          <w:rFonts w:ascii="Times New Roman" w:hAnsi="Times New Roman"/>
          <w:szCs w:val="24"/>
          <w:u w:val="single"/>
          <w:lang w:eastAsia="en-US"/>
        </w:rPr>
      </w:pPr>
    </w:p>
    <w:p w:rsidR="00125547" w:rsidRPr="00FF5FDF" w:rsidRDefault="00125547" w:rsidP="00FF5FDF">
      <w:pPr>
        <w:pStyle w:val="Odstavecseseznamem"/>
        <w:keepNext/>
        <w:keepLines/>
        <w:numPr>
          <w:ilvl w:val="0"/>
          <w:numId w:val="8"/>
        </w:numPr>
        <w:suppressAutoHyphens w:val="0"/>
        <w:ind w:left="284" w:hanging="284"/>
        <w:jc w:val="both"/>
        <w:rPr>
          <w:rFonts w:ascii="Times New Roman" w:hAnsi="Times New Roman"/>
          <w:szCs w:val="24"/>
          <w:u w:val="single"/>
          <w:lang w:eastAsia="en-US"/>
        </w:rPr>
      </w:pPr>
      <w:r w:rsidRPr="00FF5FDF">
        <w:rPr>
          <w:rFonts w:ascii="Times New Roman" w:hAnsi="Times New Roman"/>
          <w:szCs w:val="24"/>
          <w:u w:val="single"/>
          <w:lang w:eastAsia="en-US"/>
        </w:rPr>
        <w:t>stručného popisu obchodního modelu účetní jednotky a konsolidující účetní jednotky,</w:t>
      </w:r>
    </w:p>
    <w:p w:rsidR="00125547" w:rsidRPr="00FF5FDF" w:rsidRDefault="00125547" w:rsidP="00FF5FDF">
      <w:pPr>
        <w:pStyle w:val="Odstavecseseznamem"/>
        <w:keepNext/>
        <w:keepLines/>
        <w:numPr>
          <w:ilvl w:val="0"/>
          <w:numId w:val="8"/>
        </w:numPr>
        <w:suppressAutoHyphens w:val="0"/>
        <w:ind w:left="284" w:hanging="284"/>
        <w:jc w:val="both"/>
        <w:rPr>
          <w:rFonts w:ascii="Times New Roman" w:hAnsi="Times New Roman"/>
          <w:szCs w:val="24"/>
          <w:u w:val="single"/>
          <w:lang w:eastAsia="en-US"/>
        </w:rPr>
      </w:pPr>
      <w:r w:rsidRPr="00FF5FDF">
        <w:rPr>
          <w:rFonts w:ascii="Times New Roman" w:hAnsi="Times New Roman"/>
          <w:szCs w:val="24"/>
          <w:u w:val="single"/>
          <w:lang w:eastAsia="en-US"/>
        </w:rPr>
        <w:t xml:space="preserve">popisu opatření, jež účetní jednotka a konsolidující účetní jednotka ve vztahu k těmto otázkám uplatňuje, včetně uplatňovaných postupů náležité péče, </w:t>
      </w:r>
    </w:p>
    <w:p w:rsidR="00125547" w:rsidRPr="00FF5FDF" w:rsidRDefault="00125547" w:rsidP="00FF5FDF">
      <w:pPr>
        <w:pStyle w:val="Odstavecseseznamem"/>
        <w:keepNext/>
        <w:keepLines/>
        <w:numPr>
          <w:ilvl w:val="0"/>
          <w:numId w:val="8"/>
        </w:numPr>
        <w:suppressAutoHyphens w:val="0"/>
        <w:ind w:left="284" w:hanging="284"/>
        <w:jc w:val="both"/>
        <w:rPr>
          <w:rFonts w:ascii="Times New Roman" w:hAnsi="Times New Roman"/>
          <w:szCs w:val="24"/>
          <w:u w:val="single"/>
          <w:lang w:eastAsia="en-US"/>
        </w:rPr>
      </w:pPr>
      <w:r w:rsidRPr="00FF5FDF">
        <w:rPr>
          <w:rFonts w:ascii="Times New Roman" w:hAnsi="Times New Roman"/>
          <w:szCs w:val="24"/>
          <w:u w:val="single"/>
          <w:lang w:eastAsia="en-US"/>
        </w:rPr>
        <w:t>výsledků těchto opatření,</w:t>
      </w:r>
    </w:p>
    <w:p w:rsidR="00125547" w:rsidRPr="00FF5FDF" w:rsidRDefault="00125547" w:rsidP="00FF5FDF">
      <w:pPr>
        <w:pStyle w:val="Odstavecseseznamem"/>
        <w:keepNext/>
        <w:keepLines/>
        <w:numPr>
          <w:ilvl w:val="0"/>
          <w:numId w:val="8"/>
        </w:numPr>
        <w:suppressAutoHyphens w:val="0"/>
        <w:ind w:left="284" w:hanging="284"/>
        <w:jc w:val="both"/>
        <w:rPr>
          <w:rFonts w:ascii="Times New Roman" w:hAnsi="Times New Roman"/>
          <w:szCs w:val="24"/>
          <w:u w:val="single"/>
          <w:lang w:eastAsia="en-US"/>
        </w:rPr>
      </w:pPr>
      <w:r w:rsidRPr="00FF5FDF">
        <w:rPr>
          <w:rFonts w:ascii="Times New Roman" w:hAnsi="Times New Roman"/>
          <w:szCs w:val="24"/>
          <w:u w:val="single"/>
          <w:lang w:eastAsia="en-US"/>
        </w:rPr>
        <w:t xml:space="preserve">hlavních rizik souvisejících s těmito otázkami, jež jsou spojeny s operacemi účetní jednotky a konsolidující účetní jednotky, včetně, je-li to podstatné a přiměřené, jejích obchodních vztahů, produktů nebo služeb, které by mohly mít nepříznivé dopady v těchto oblastech, a způsobu, jakým účetní jednotka a konsolidující účetní jednotka tato rizika řídí, </w:t>
      </w:r>
    </w:p>
    <w:p w:rsidR="00125547" w:rsidRPr="00FF5FDF" w:rsidRDefault="00125547" w:rsidP="00FF5FDF">
      <w:pPr>
        <w:pStyle w:val="Odstavecseseznamem"/>
        <w:keepNext/>
        <w:keepLines/>
        <w:numPr>
          <w:ilvl w:val="0"/>
          <w:numId w:val="8"/>
        </w:numPr>
        <w:suppressAutoHyphens w:val="0"/>
        <w:ind w:left="284" w:hanging="295"/>
        <w:jc w:val="both"/>
        <w:rPr>
          <w:rFonts w:ascii="Times New Roman" w:hAnsi="Times New Roman"/>
          <w:szCs w:val="24"/>
          <w:u w:val="single"/>
          <w:lang w:eastAsia="en-US"/>
        </w:rPr>
      </w:pPr>
      <w:r w:rsidRPr="00FF5FDF">
        <w:rPr>
          <w:rFonts w:ascii="Times New Roman" w:hAnsi="Times New Roman"/>
          <w:szCs w:val="24"/>
          <w:u w:val="single"/>
          <w:lang w:eastAsia="en-US"/>
        </w:rPr>
        <w:t>nefinančních klíčových ukazatelů výkonnosti, které se vztahují k příslušné činnosti.</w:t>
      </w:r>
    </w:p>
    <w:p w:rsidR="00125547" w:rsidRPr="00D33784" w:rsidRDefault="00125547" w:rsidP="00686D13">
      <w:pPr>
        <w:keepNext/>
        <w:keepLines/>
        <w:suppressAutoHyphens w:val="0"/>
        <w:ind w:left="360" w:hanging="360"/>
        <w:jc w:val="both"/>
        <w:rPr>
          <w:rFonts w:ascii="Times New Roman" w:hAnsi="Times New Roman"/>
          <w:szCs w:val="24"/>
          <w:u w:val="single"/>
          <w:lang w:eastAsia="en-US"/>
        </w:rPr>
      </w:pPr>
    </w:p>
    <w:p w:rsidR="00233426" w:rsidRPr="00233426" w:rsidRDefault="00125547" w:rsidP="00233426">
      <w:pPr>
        <w:keepNext/>
        <w:keepLines/>
        <w:suppressAutoHyphens w:val="0"/>
        <w:jc w:val="both"/>
        <w:rPr>
          <w:rFonts w:ascii="Times New Roman" w:hAnsi="Times New Roman"/>
          <w:szCs w:val="24"/>
          <w:u w:val="single"/>
          <w:lang w:eastAsia="en-US"/>
        </w:rPr>
      </w:pPr>
      <w:r w:rsidRPr="0055608D">
        <w:rPr>
          <w:rFonts w:ascii="Times New Roman" w:hAnsi="Times New Roman"/>
          <w:szCs w:val="24"/>
          <w:lang w:eastAsia="en-US"/>
        </w:rPr>
        <w:lastRenderedPageBreak/>
        <w:tab/>
      </w:r>
      <w:r w:rsidRPr="00D33784">
        <w:rPr>
          <w:rFonts w:ascii="Times New Roman" w:hAnsi="Times New Roman"/>
          <w:szCs w:val="24"/>
          <w:u w:val="single"/>
          <w:lang w:eastAsia="en-US"/>
        </w:rPr>
        <w:t xml:space="preserve">(2) Informace podle odstavce 1 uvede účetní jednotka a konsolidující účetní jednotka ve výroční zprávě a v konsolidované výroční zprávě nebo v samostatné </w:t>
      </w:r>
      <w:r w:rsidRPr="00233426">
        <w:rPr>
          <w:rFonts w:ascii="Times New Roman" w:hAnsi="Times New Roman"/>
          <w:szCs w:val="24"/>
          <w:u w:val="single"/>
          <w:lang w:eastAsia="en-US"/>
        </w:rPr>
        <w:t>zprávě.</w:t>
      </w:r>
      <w:r w:rsidR="00233426" w:rsidRPr="00233426">
        <w:rPr>
          <w:rFonts w:ascii="Times New Roman" w:hAnsi="Times New Roman"/>
          <w:szCs w:val="24"/>
          <w:u w:val="single"/>
          <w:lang w:eastAsia="en-US"/>
        </w:rPr>
        <w:t xml:space="preserve"> Jsou-li informace podle odstavce 1 uvedeny v samostatné zprávě, neuvádí je účetní jednotka ani konsolidující účetní jednotka ve výroční zprávě a v konsolidované výroční zprávě.</w:t>
      </w:r>
    </w:p>
    <w:p w:rsidR="00125547" w:rsidRPr="00D33784" w:rsidRDefault="00125547" w:rsidP="00686D13">
      <w:pPr>
        <w:keepNext/>
        <w:keepLines/>
        <w:suppressAutoHyphens w:val="0"/>
        <w:jc w:val="both"/>
        <w:rPr>
          <w:rFonts w:ascii="Times New Roman" w:hAnsi="Times New Roman"/>
          <w:szCs w:val="24"/>
          <w:u w:val="single"/>
          <w:lang w:eastAsia="en-US"/>
        </w:rPr>
      </w:pPr>
    </w:p>
    <w:p w:rsidR="00125547" w:rsidRPr="00D33784" w:rsidRDefault="00125547" w:rsidP="00686D13">
      <w:pPr>
        <w:keepNext/>
        <w:keepLines/>
        <w:suppressAutoHyphens w:val="0"/>
        <w:ind w:firstLine="708"/>
        <w:jc w:val="both"/>
        <w:rPr>
          <w:rFonts w:ascii="Times New Roman" w:hAnsi="Times New Roman"/>
          <w:szCs w:val="24"/>
          <w:u w:val="single"/>
          <w:lang w:eastAsia="en-US"/>
        </w:rPr>
      </w:pPr>
      <w:r w:rsidRPr="00D33784">
        <w:rPr>
          <w:rFonts w:ascii="Times New Roman" w:hAnsi="Times New Roman"/>
          <w:szCs w:val="24"/>
          <w:u w:val="single"/>
          <w:lang w:eastAsia="en-US"/>
        </w:rPr>
        <w:t>(3)</w:t>
      </w:r>
      <w:r>
        <w:rPr>
          <w:rFonts w:ascii="Times New Roman" w:hAnsi="Times New Roman"/>
          <w:szCs w:val="24"/>
          <w:u w:val="single"/>
          <w:lang w:eastAsia="en-US"/>
        </w:rPr>
        <w:t xml:space="preserve"> </w:t>
      </w:r>
      <w:r w:rsidRPr="00D33784">
        <w:rPr>
          <w:rFonts w:ascii="Times New Roman" w:hAnsi="Times New Roman"/>
          <w:szCs w:val="24"/>
          <w:u w:val="single"/>
          <w:lang w:eastAsia="en-US"/>
        </w:rPr>
        <w:t xml:space="preserve">Informace podle odstavce 1 obsahují v případech, kdy to je </w:t>
      </w:r>
      <w:r>
        <w:rPr>
          <w:rFonts w:ascii="Times New Roman" w:hAnsi="Times New Roman"/>
          <w:szCs w:val="24"/>
          <w:u w:val="single"/>
          <w:lang w:eastAsia="en-US"/>
        </w:rPr>
        <w:t>vhodné</w:t>
      </w:r>
      <w:r w:rsidRPr="00D33784">
        <w:rPr>
          <w:rFonts w:ascii="Times New Roman" w:hAnsi="Times New Roman"/>
          <w:szCs w:val="24"/>
          <w:u w:val="single"/>
          <w:lang w:eastAsia="en-US"/>
        </w:rPr>
        <w:t>, odkazy na částky vykazované v  účetní závěrce a v konsolidované účetní závěrce s případným dalším podrobnějším komentářem.</w:t>
      </w:r>
    </w:p>
    <w:p w:rsidR="00125547" w:rsidRPr="00D33784" w:rsidRDefault="00125547" w:rsidP="00686D13">
      <w:pPr>
        <w:keepNext/>
        <w:keepLines/>
        <w:suppressAutoHyphens w:val="0"/>
        <w:ind w:firstLine="708"/>
        <w:jc w:val="both"/>
        <w:rPr>
          <w:rFonts w:ascii="Times New Roman" w:hAnsi="Times New Roman"/>
          <w:szCs w:val="24"/>
          <w:u w:val="single"/>
          <w:lang w:eastAsia="en-US"/>
        </w:rPr>
      </w:pPr>
    </w:p>
    <w:p w:rsidR="00125547" w:rsidRPr="00D33784" w:rsidRDefault="00125547" w:rsidP="00686D13">
      <w:pPr>
        <w:keepNext/>
        <w:keepLines/>
        <w:suppressAutoHyphens w:val="0"/>
        <w:ind w:firstLine="708"/>
        <w:jc w:val="both"/>
        <w:rPr>
          <w:rFonts w:ascii="Times New Roman" w:hAnsi="Times New Roman"/>
          <w:szCs w:val="24"/>
          <w:u w:val="single"/>
          <w:lang w:eastAsia="en-US"/>
        </w:rPr>
      </w:pPr>
      <w:r w:rsidRPr="0055608D">
        <w:rPr>
          <w:rFonts w:ascii="Times New Roman" w:hAnsi="Times New Roman"/>
          <w:szCs w:val="24"/>
          <w:lang w:eastAsia="en-US"/>
        </w:rPr>
        <w:t xml:space="preserve"> </w:t>
      </w:r>
      <w:r w:rsidRPr="00D33784">
        <w:rPr>
          <w:rFonts w:ascii="Times New Roman" w:hAnsi="Times New Roman"/>
          <w:szCs w:val="24"/>
          <w:u w:val="single"/>
          <w:lang w:eastAsia="en-US"/>
        </w:rPr>
        <w:t xml:space="preserve">(4) Pokud účetní jednotka </w:t>
      </w:r>
      <w:r>
        <w:rPr>
          <w:rFonts w:ascii="Times New Roman" w:hAnsi="Times New Roman"/>
          <w:szCs w:val="24"/>
          <w:u w:val="single"/>
          <w:lang w:eastAsia="en-US"/>
        </w:rPr>
        <w:t>a</w:t>
      </w:r>
      <w:r w:rsidRPr="00D33784">
        <w:rPr>
          <w:rFonts w:ascii="Times New Roman" w:hAnsi="Times New Roman"/>
          <w:szCs w:val="24"/>
          <w:u w:val="single"/>
          <w:lang w:eastAsia="en-US"/>
        </w:rPr>
        <w:t xml:space="preserve"> konsolidující účetní jednotka </w:t>
      </w:r>
      <w:r>
        <w:rPr>
          <w:rFonts w:ascii="Times New Roman" w:hAnsi="Times New Roman"/>
          <w:szCs w:val="24"/>
          <w:u w:val="single"/>
          <w:lang w:eastAsia="en-US"/>
        </w:rPr>
        <w:t>neuplatňuje opatření</w:t>
      </w:r>
      <w:r w:rsidRPr="00D33784">
        <w:rPr>
          <w:rFonts w:ascii="Times New Roman" w:hAnsi="Times New Roman"/>
          <w:szCs w:val="24"/>
          <w:u w:val="single"/>
          <w:lang w:eastAsia="en-US"/>
        </w:rPr>
        <w:t xml:space="preserve"> ve vztahu k jedné nebo více oblastí uvedených v odstavci 1, uvede jasné a odůvodněné vysvětlení</w:t>
      </w:r>
      <w:r w:rsidR="007F17DA">
        <w:rPr>
          <w:rFonts w:ascii="Times New Roman" w:hAnsi="Times New Roman"/>
          <w:szCs w:val="24"/>
          <w:u w:val="single"/>
          <w:lang w:eastAsia="en-US"/>
        </w:rPr>
        <w:t>,</w:t>
      </w:r>
      <w:r w:rsidRPr="00D33784">
        <w:rPr>
          <w:rFonts w:ascii="Times New Roman" w:hAnsi="Times New Roman"/>
          <w:szCs w:val="24"/>
          <w:u w:val="single"/>
          <w:lang w:eastAsia="en-US"/>
        </w:rPr>
        <w:t xml:space="preserve"> proč </w:t>
      </w:r>
      <w:r>
        <w:rPr>
          <w:rFonts w:ascii="Times New Roman" w:hAnsi="Times New Roman"/>
          <w:szCs w:val="24"/>
          <w:u w:val="single"/>
          <w:lang w:eastAsia="en-US"/>
        </w:rPr>
        <w:t>opatření</w:t>
      </w:r>
      <w:r w:rsidRPr="00D33784">
        <w:rPr>
          <w:rFonts w:ascii="Times New Roman" w:hAnsi="Times New Roman"/>
          <w:szCs w:val="24"/>
          <w:u w:val="single"/>
          <w:lang w:eastAsia="en-US"/>
        </w:rPr>
        <w:t xml:space="preserve"> v dané oblasti </w:t>
      </w:r>
      <w:r>
        <w:rPr>
          <w:rFonts w:ascii="Times New Roman" w:hAnsi="Times New Roman"/>
          <w:szCs w:val="24"/>
          <w:u w:val="single"/>
          <w:lang w:eastAsia="en-US"/>
        </w:rPr>
        <w:t>neuplatňuje</w:t>
      </w:r>
      <w:r w:rsidRPr="00D33784">
        <w:rPr>
          <w:rFonts w:ascii="Times New Roman" w:hAnsi="Times New Roman"/>
          <w:szCs w:val="24"/>
          <w:u w:val="single"/>
          <w:lang w:eastAsia="en-US"/>
        </w:rPr>
        <w:t xml:space="preserve">. </w:t>
      </w:r>
    </w:p>
    <w:p w:rsidR="00125547" w:rsidRPr="00D33784" w:rsidRDefault="00125547" w:rsidP="00686D13">
      <w:pPr>
        <w:keepNext/>
        <w:keepLines/>
        <w:suppressAutoHyphens w:val="0"/>
        <w:jc w:val="both"/>
        <w:rPr>
          <w:rFonts w:ascii="Times New Roman" w:hAnsi="Times New Roman"/>
          <w:szCs w:val="24"/>
          <w:u w:val="single"/>
          <w:lang w:eastAsia="en-US"/>
        </w:rPr>
      </w:pPr>
    </w:p>
    <w:p w:rsidR="00125547" w:rsidRPr="00D33784" w:rsidRDefault="00125547" w:rsidP="00686D13">
      <w:pPr>
        <w:keepNext/>
        <w:keepLines/>
        <w:suppressAutoHyphens w:val="0"/>
        <w:ind w:firstLine="708"/>
        <w:jc w:val="both"/>
        <w:rPr>
          <w:rFonts w:ascii="Times New Roman" w:hAnsi="Times New Roman"/>
          <w:szCs w:val="24"/>
          <w:u w:val="single"/>
          <w:lang w:eastAsia="en-US"/>
        </w:rPr>
      </w:pPr>
      <w:r w:rsidRPr="00D33784">
        <w:rPr>
          <w:rFonts w:ascii="Times New Roman" w:hAnsi="Times New Roman"/>
          <w:szCs w:val="24"/>
          <w:u w:val="single"/>
          <w:lang w:eastAsia="en-US"/>
        </w:rPr>
        <w:t>(5)</w:t>
      </w:r>
      <w:r>
        <w:rPr>
          <w:rFonts w:ascii="Times New Roman" w:hAnsi="Times New Roman"/>
          <w:szCs w:val="24"/>
          <w:u w:val="single"/>
          <w:lang w:eastAsia="en-US"/>
        </w:rPr>
        <w:t xml:space="preserve"> </w:t>
      </w:r>
      <w:r w:rsidRPr="00D33784">
        <w:rPr>
          <w:rFonts w:ascii="Times New Roman" w:hAnsi="Times New Roman"/>
          <w:szCs w:val="24"/>
          <w:u w:val="single"/>
          <w:lang w:eastAsia="en-US"/>
        </w:rPr>
        <w:t xml:space="preserve">Informace týkající se budoucího vývoje nebo záležitostí, které se právě projednávají, nemusí být ve výjimečných případech </w:t>
      </w:r>
      <w:r>
        <w:rPr>
          <w:rFonts w:ascii="Times New Roman" w:hAnsi="Times New Roman"/>
          <w:szCs w:val="24"/>
          <w:u w:val="single"/>
          <w:lang w:eastAsia="en-US"/>
        </w:rPr>
        <w:t>uvedeny</w:t>
      </w:r>
      <w:r w:rsidRPr="00D33784">
        <w:rPr>
          <w:rFonts w:ascii="Times New Roman" w:hAnsi="Times New Roman"/>
          <w:szCs w:val="24"/>
          <w:u w:val="single"/>
          <w:lang w:eastAsia="en-US"/>
        </w:rPr>
        <w:t xml:space="preserve">, jestliže by podle řádně odůvodněného stanoviska členů </w:t>
      </w:r>
      <w:r w:rsidR="00207D87">
        <w:rPr>
          <w:rFonts w:ascii="Times New Roman" w:hAnsi="Times New Roman"/>
          <w:szCs w:val="24"/>
          <w:u w:val="single"/>
          <w:lang w:eastAsia="en-US"/>
        </w:rPr>
        <w:t>správního, řídícího nebo dozorčího orgánu</w:t>
      </w:r>
      <w:r w:rsidRPr="00D33784">
        <w:rPr>
          <w:rFonts w:ascii="Times New Roman" w:hAnsi="Times New Roman"/>
          <w:szCs w:val="24"/>
          <w:u w:val="single"/>
          <w:lang w:eastAsia="en-US"/>
        </w:rPr>
        <w:t xml:space="preserve"> uvedení těchto informací výrazně poškodilo obchodní postavení dané účetní jednotky a konsolidující účetní jednotky, neznemožňuje-li jejich vynechání objektivní a vyvážené pochopení vývoje účetní jednotky a konsolidující účetní jednotky, její výkonnosti a postavení a dopadu její činnosti.</w:t>
      </w:r>
    </w:p>
    <w:p w:rsidR="00125547" w:rsidRPr="00D33784" w:rsidRDefault="00125547" w:rsidP="00686D13">
      <w:pPr>
        <w:keepNext/>
        <w:keepLines/>
        <w:suppressAutoHyphens w:val="0"/>
        <w:ind w:firstLine="708"/>
        <w:jc w:val="both"/>
        <w:rPr>
          <w:rFonts w:ascii="Times New Roman" w:hAnsi="Times New Roman"/>
          <w:szCs w:val="24"/>
          <w:u w:val="single"/>
          <w:lang w:eastAsia="en-US"/>
        </w:rPr>
      </w:pPr>
    </w:p>
    <w:p w:rsidR="00125547" w:rsidRPr="00D33784" w:rsidRDefault="00125547" w:rsidP="00686D13">
      <w:pPr>
        <w:keepNext/>
        <w:keepLines/>
        <w:suppressAutoHyphens w:val="0"/>
        <w:ind w:firstLine="708"/>
        <w:jc w:val="both"/>
        <w:rPr>
          <w:rFonts w:ascii="Times New Roman" w:hAnsi="Times New Roman"/>
          <w:szCs w:val="24"/>
          <w:u w:val="single"/>
          <w:lang w:eastAsia="en-US"/>
        </w:rPr>
      </w:pPr>
      <w:r w:rsidRPr="00D33784">
        <w:rPr>
          <w:rFonts w:ascii="Times New Roman" w:hAnsi="Times New Roman"/>
          <w:szCs w:val="24"/>
          <w:u w:val="single"/>
          <w:lang w:eastAsia="en-US"/>
        </w:rPr>
        <w:t xml:space="preserve">(6) Účetní jednotka a konsolidující účetní jednotka může pro uvádění nefinančních informací podle odstavce 1 vycházet z vnitrostátních, unijních nebo mezinárodních </w:t>
      </w:r>
      <w:r>
        <w:rPr>
          <w:rFonts w:ascii="Times New Roman" w:hAnsi="Times New Roman"/>
          <w:szCs w:val="24"/>
          <w:u w:val="single"/>
          <w:lang w:eastAsia="en-US"/>
        </w:rPr>
        <w:t>metodik</w:t>
      </w:r>
      <w:r w:rsidRPr="00D33784">
        <w:rPr>
          <w:rFonts w:ascii="Times New Roman" w:hAnsi="Times New Roman"/>
          <w:szCs w:val="24"/>
          <w:u w:val="single"/>
          <w:lang w:eastAsia="en-US"/>
        </w:rPr>
        <w:t xml:space="preserve">. Pokud tak účetní jednotka a konsolidující účetní jednotka učiní, upřesní, ze kterých </w:t>
      </w:r>
      <w:r>
        <w:rPr>
          <w:rFonts w:ascii="Times New Roman" w:hAnsi="Times New Roman"/>
          <w:szCs w:val="24"/>
          <w:u w:val="single"/>
          <w:lang w:eastAsia="en-US"/>
        </w:rPr>
        <w:t>metodik</w:t>
      </w:r>
      <w:r w:rsidRPr="00D33784">
        <w:rPr>
          <w:rFonts w:ascii="Times New Roman" w:hAnsi="Times New Roman"/>
          <w:szCs w:val="24"/>
          <w:u w:val="single"/>
          <w:lang w:eastAsia="en-US"/>
        </w:rPr>
        <w:t xml:space="preserve"> vycházela.</w:t>
      </w:r>
    </w:p>
    <w:p w:rsidR="00125547" w:rsidRPr="00D33784" w:rsidRDefault="00125547" w:rsidP="00686D13">
      <w:pPr>
        <w:keepNext/>
        <w:keepLines/>
        <w:suppressAutoHyphens w:val="0"/>
        <w:ind w:firstLine="708"/>
        <w:jc w:val="both"/>
        <w:rPr>
          <w:rFonts w:ascii="Times New Roman" w:hAnsi="Times New Roman"/>
          <w:szCs w:val="24"/>
          <w:u w:val="single"/>
          <w:lang w:eastAsia="en-US"/>
        </w:rPr>
      </w:pPr>
    </w:p>
    <w:p w:rsidR="00125547" w:rsidRPr="00D33784" w:rsidRDefault="00125547" w:rsidP="00686D13">
      <w:pPr>
        <w:keepNext/>
        <w:keepLines/>
        <w:suppressAutoHyphens w:val="0"/>
        <w:ind w:firstLine="708"/>
        <w:jc w:val="both"/>
        <w:rPr>
          <w:rFonts w:ascii="Times New Roman" w:hAnsi="Times New Roman"/>
          <w:szCs w:val="24"/>
          <w:u w:val="single"/>
          <w:lang w:eastAsia="en-US"/>
        </w:rPr>
      </w:pPr>
      <w:r w:rsidRPr="00D33784">
        <w:rPr>
          <w:rFonts w:ascii="Times New Roman" w:hAnsi="Times New Roman"/>
          <w:szCs w:val="24"/>
          <w:u w:val="single"/>
          <w:lang w:eastAsia="en-US"/>
        </w:rPr>
        <w:t>(7) Pokud účetní jednotka a konsolidující účetní jednotka uvádí nefinanční informace podle odstavce 1, neuvádí nefinanční informace podle § 21 odst. 2</w:t>
      </w:r>
      <w:r w:rsidR="00173AA4">
        <w:rPr>
          <w:rFonts w:ascii="Times New Roman" w:hAnsi="Times New Roman"/>
          <w:szCs w:val="24"/>
          <w:u w:val="single"/>
          <w:lang w:eastAsia="en-US"/>
        </w:rPr>
        <w:t xml:space="preserve"> písm. d)</w:t>
      </w:r>
      <w:r w:rsidRPr="00D33784">
        <w:rPr>
          <w:rFonts w:ascii="Times New Roman" w:hAnsi="Times New Roman"/>
          <w:szCs w:val="24"/>
          <w:u w:val="single"/>
          <w:lang w:eastAsia="en-US"/>
        </w:rPr>
        <w:t xml:space="preserve">. </w:t>
      </w:r>
    </w:p>
    <w:p w:rsidR="00125547" w:rsidRPr="00D33784" w:rsidRDefault="00125547" w:rsidP="00686D13">
      <w:pPr>
        <w:keepNext/>
        <w:keepLines/>
        <w:suppressAutoHyphens w:val="0"/>
        <w:jc w:val="center"/>
        <w:rPr>
          <w:rFonts w:ascii="Times New Roman" w:hAnsi="Times New Roman"/>
          <w:szCs w:val="24"/>
          <w:u w:val="single"/>
          <w:lang w:eastAsia="en-US"/>
        </w:rPr>
      </w:pPr>
    </w:p>
    <w:p w:rsidR="00125547" w:rsidRPr="00561351" w:rsidRDefault="00125547" w:rsidP="008B576D">
      <w:pPr>
        <w:keepNext/>
        <w:keepLines/>
        <w:suppressAutoHyphens w:val="0"/>
        <w:ind w:firstLine="708"/>
        <w:jc w:val="both"/>
        <w:rPr>
          <w:rFonts w:ascii="Times New Roman" w:hAnsi="Times New Roman"/>
          <w:szCs w:val="24"/>
          <w:u w:val="single"/>
          <w:lang w:eastAsia="en-US"/>
        </w:rPr>
      </w:pPr>
      <w:r w:rsidRPr="00D33784">
        <w:rPr>
          <w:rFonts w:ascii="Times New Roman" w:hAnsi="Times New Roman"/>
          <w:szCs w:val="24"/>
          <w:u w:val="single"/>
          <w:lang w:eastAsia="en-US"/>
        </w:rPr>
        <w:t xml:space="preserve"> (8) Konsolidující účetní jednotka podle § 32f nebo konsolidovaná účetní jednotka, </w:t>
      </w:r>
      <w:r>
        <w:rPr>
          <w:rFonts w:ascii="Times New Roman" w:hAnsi="Times New Roman"/>
          <w:szCs w:val="24"/>
          <w:u w:val="single"/>
          <w:lang w:eastAsia="en-US"/>
        </w:rPr>
        <w:t>nemusí uvádět</w:t>
      </w:r>
      <w:r w:rsidRPr="00D33784">
        <w:rPr>
          <w:rFonts w:ascii="Times New Roman" w:hAnsi="Times New Roman"/>
          <w:szCs w:val="24"/>
          <w:u w:val="single"/>
          <w:lang w:eastAsia="en-US"/>
        </w:rPr>
        <w:t xml:space="preserve"> nefinanční informace podle § 32g, pokud je současně konsolidovanou účetní </w:t>
      </w:r>
      <w:r w:rsidRPr="00561351">
        <w:rPr>
          <w:rFonts w:ascii="Times New Roman" w:hAnsi="Times New Roman"/>
          <w:szCs w:val="24"/>
          <w:u w:val="single"/>
          <w:lang w:eastAsia="en-US"/>
        </w:rPr>
        <w:t xml:space="preserve">jednotkou </w:t>
      </w:r>
      <w:r w:rsidR="00561351" w:rsidRPr="00561351">
        <w:rPr>
          <w:rFonts w:ascii="Times New Roman" w:hAnsi="Times New Roman"/>
          <w:szCs w:val="24"/>
          <w:u w:val="single"/>
          <w:lang w:eastAsia="en-US"/>
        </w:rPr>
        <w:t>a informace podle § 32 g jsou uvedeny v konsolidované výroční zprávě nebo samostatné zprávě.</w:t>
      </w:r>
    </w:p>
    <w:p w:rsidR="00125547" w:rsidRPr="00D33784" w:rsidRDefault="00125547" w:rsidP="008B576D">
      <w:pPr>
        <w:keepNext/>
        <w:keepLines/>
        <w:suppressAutoHyphens w:val="0"/>
        <w:ind w:firstLine="708"/>
        <w:jc w:val="both"/>
        <w:rPr>
          <w:rFonts w:ascii="Times New Roman" w:hAnsi="Times New Roman"/>
          <w:szCs w:val="24"/>
          <w:u w:val="single"/>
          <w:lang w:eastAsia="en-US"/>
        </w:rPr>
      </w:pPr>
      <w:r w:rsidRPr="00D33784">
        <w:rPr>
          <w:rFonts w:ascii="Times New Roman" w:hAnsi="Times New Roman"/>
          <w:szCs w:val="24"/>
          <w:highlight w:val="yellow"/>
          <w:u w:val="single"/>
          <w:lang w:eastAsia="en-US"/>
        </w:rPr>
        <w:t xml:space="preserve"> </w:t>
      </w:r>
    </w:p>
    <w:p w:rsidR="00125547" w:rsidRPr="00D33784" w:rsidRDefault="00125547" w:rsidP="00686D13">
      <w:pPr>
        <w:keepNext/>
        <w:keepLines/>
        <w:suppressAutoHyphens w:val="0"/>
        <w:jc w:val="center"/>
        <w:rPr>
          <w:rFonts w:ascii="Times New Roman" w:hAnsi="Times New Roman"/>
          <w:szCs w:val="24"/>
          <w:u w:val="single"/>
          <w:lang w:eastAsia="en-US"/>
        </w:rPr>
      </w:pPr>
      <w:r w:rsidRPr="00D33784">
        <w:rPr>
          <w:rFonts w:ascii="Times New Roman" w:hAnsi="Times New Roman"/>
          <w:szCs w:val="24"/>
          <w:u w:val="single"/>
          <w:lang w:eastAsia="en-US"/>
        </w:rPr>
        <w:t>§ 32h</w:t>
      </w:r>
    </w:p>
    <w:p w:rsidR="00125547" w:rsidRPr="00491104" w:rsidRDefault="00125547" w:rsidP="00686D13">
      <w:pPr>
        <w:keepNext/>
        <w:keepLines/>
        <w:suppressAutoHyphens w:val="0"/>
        <w:jc w:val="center"/>
        <w:rPr>
          <w:rFonts w:ascii="Times New Roman" w:hAnsi="Times New Roman"/>
          <w:b/>
          <w:szCs w:val="24"/>
          <w:u w:val="single"/>
          <w:lang w:eastAsia="en-US"/>
        </w:rPr>
      </w:pPr>
      <w:r w:rsidRPr="00491104">
        <w:rPr>
          <w:rFonts w:ascii="Times New Roman" w:hAnsi="Times New Roman"/>
          <w:b/>
          <w:szCs w:val="24"/>
          <w:u w:val="single"/>
          <w:lang w:eastAsia="en-US"/>
        </w:rPr>
        <w:t>Samostatná zpráva</w:t>
      </w:r>
    </w:p>
    <w:p w:rsidR="00125547" w:rsidRPr="00D33784" w:rsidRDefault="00125547" w:rsidP="00686D13">
      <w:pPr>
        <w:keepNext/>
        <w:keepLines/>
        <w:suppressAutoHyphens w:val="0"/>
        <w:jc w:val="center"/>
        <w:rPr>
          <w:rFonts w:ascii="Times New Roman" w:hAnsi="Times New Roman"/>
          <w:szCs w:val="24"/>
          <w:u w:val="single"/>
          <w:lang w:eastAsia="en-US"/>
        </w:rPr>
      </w:pPr>
    </w:p>
    <w:p w:rsidR="00125547" w:rsidRPr="00D33784" w:rsidRDefault="00125547" w:rsidP="00686D13">
      <w:pPr>
        <w:keepNext/>
        <w:keepLines/>
        <w:suppressAutoHyphens w:val="0"/>
        <w:ind w:firstLine="708"/>
        <w:jc w:val="both"/>
        <w:rPr>
          <w:rFonts w:ascii="Times New Roman" w:hAnsi="Times New Roman"/>
          <w:szCs w:val="24"/>
          <w:u w:val="single"/>
          <w:lang w:eastAsia="en-US"/>
        </w:rPr>
      </w:pPr>
      <w:r w:rsidRPr="00D33784">
        <w:rPr>
          <w:rFonts w:ascii="Times New Roman" w:hAnsi="Times New Roman"/>
          <w:szCs w:val="24"/>
          <w:u w:val="single"/>
          <w:lang w:eastAsia="en-US"/>
        </w:rPr>
        <w:t xml:space="preserve">Pokud účetní jednotka a konsolidující účetní jednotka vypracovává za stejné účetní období samostatnou zprávu podle § 32g odst. 2, ať již vycházející z vnitrostátních, unijních nebo mezinárodních </w:t>
      </w:r>
      <w:r>
        <w:rPr>
          <w:rFonts w:ascii="Times New Roman" w:hAnsi="Times New Roman"/>
          <w:szCs w:val="24"/>
          <w:u w:val="single"/>
          <w:lang w:eastAsia="en-US"/>
        </w:rPr>
        <w:t>metodik</w:t>
      </w:r>
      <w:r w:rsidRPr="00D33784">
        <w:rPr>
          <w:rFonts w:ascii="Times New Roman" w:hAnsi="Times New Roman"/>
          <w:szCs w:val="24"/>
          <w:u w:val="single"/>
          <w:lang w:eastAsia="en-US"/>
        </w:rPr>
        <w:t xml:space="preserve"> či nikoli, která obsahuje nefinanční informace podle § 32g odst. 1, musí být tato samostatná zpráva</w:t>
      </w:r>
    </w:p>
    <w:p w:rsidR="00125547" w:rsidRPr="00D33784" w:rsidRDefault="00125547" w:rsidP="00686D13">
      <w:pPr>
        <w:keepNext/>
        <w:keepLines/>
        <w:suppressAutoHyphens w:val="0"/>
        <w:jc w:val="both"/>
        <w:rPr>
          <w:rFonts w:ascii="Times New Roman" w:hAnsi="Times New Roman"/>
          <w:szCs w:val="24"/>
          <w:u w:val="single"/>
          <w:lang w:eastAsia="en-US"/>
        </w:rPr>
      </w:pPr>
    </w:p>
    <w:p w:rsidR="00125547" w:rsidRPr="00931870" w:rsidRDefault="00125547" w:rsidP="00931870">
      <w:pPr>
        <w:pStyle w:val="Odstavecseseznamem"/>
        <w:keepNext/>
        <w:keepLines/>
        <w:numPr>
          <w:ilvl w:val="0"/>
          <w:numId w:val="10"/>
        </w:numPr>
        <w:suppressAutoHyphens w:val="0"/>
        <w:ind w:left="284" w:hanging="284"/>
        <w:jc w:val="both"/>
        <w:rPr>
          <w:rFonts w:ascii="Times New Roman" w:hAnsi="Times New Roman"/>
          <w:szCs w:val="24"/>
          <w:u w:val="single"/>
          <w:lang w:eastAsia="en-US"/>
        </w:rPr>
      </w:pPr>
      <w:r w:rsidRPr="00931870">
        <w:rPr>
          <w:rFonts w:ascii="Times New Roman" w:hAnsi="Times New Roman"/>
          <w:szCs w:val="24"/>
          <w:u w:val="single"/>
          <w:lang w:eastAsia="en-US"/>
        </w:rPr>
        <w:t xml:space="preserve">zveřejněna společně s výroční zprávou a konsolidovanou výroční zprávou, nebo </w:t>
      </w:r>
    </w:p>
    <w:p w:rsidR="00125547" w:rsidRPr="00931870" w:rsidRDefault="00125547" w:rsidP="00931870">
      <w:pPr>
        <w:pStyle w:val="Odstavecseseznamem"/>
        <w:keepNext/>
        <w:keepLines/>
        <w:numPr>
          <w:ilvl w:val="0"/>
          <w:numId w:val="10"/>
        </w:numPr>
        <w:suppressAutoHyphens w:val="0"/>
        <w:ind w:left="284" w:hanging="284"/>
        <w:jc w:val="both"/>
        <w:rPr>
          <w:rFonts w:ascii="Times New Roman" w:hAnsi="Times New Roman"/>
          <w:szCs w:val="24"/>
          <w:u w:val="single"/>
          <w:lang w:eastAsia="en-US"/>
        </w:rPr>
      </w:pPr>
      <w:r w:rsidRPr="00931870">
        <w:rPr>
          <w:rFonts w:ascii="Times New Roman" w:hAnsi="Times New Roman"/>
          <w:szCs w:val="24"/>
          <w:u w:val="single"/>
          <w:lang w:eastAsia="en-US"/>
        </w:rPr>
        <w:t xml:space="preserve">zpřístupněna veřejnosti v přiměřené době, která nesmí překročit 6 měsíců od rozvahového dne, na internetových stránkách účetní jednotky a konsolidované účetní jednotky a ve výroční zprávě a konsolidované výroční zprávě je na ni uveden odkaz. </w:t>
      </w:r>
    </w:p>
    <w:p w:rsidR="00125547" w:rsidRPr="00D33784" w:rsidRDefault="00125547" w:rsidP="00931870">
      <w:pPr>
        <w:keepNext/>
        <w:keepLines/>
        <w:suppressAutoHyphens w:val="0"/>
        <w:ind w:left="284" w:hanging="284"/>
        <w:jc w:val="both"/>
        <w:rPr>
          <w:rFonts w:ascii="Times New Roman" w:hAnsi="Times New Roman"/>
          <w:szCs w:val="24"/>
          <w:u w:val="single"/>
          <w:lang w:eastAsia="en-US"/>
        </w:rPr>
      </w:pPr>
    </w:p>
    <w:p w:rsidR="00125547" w:rsidRPr="00D33784" w:rsidRDefault="00125547" w:rsidP="00686D13">
      <w:pPr>
        <w:keepNext/>
        <w:keepLines/>
        <w:suppressAutoHyphens w:val="0"/>
        <w:jc w:val="center"/>
        <w:rPr>
          <w:rFonts w:ascii="Times New Roman" w:hAnsi="Times New Roman"/>
          <w:szCs w:val="24"/>
          <w:u w:val="single"/>
          <w:lang w:eastAsia="en-US"/>
        </w:rPr>
      </w:pPr>
      <w:r w:rsidRPr="00D33784">
        <w:rPr>
          <w:rFonts w:ascii="Times New Roman" w:hAnsi="Times New Roman"/>
          <w:szCs w:val="24"/>
          <w:u w:val="single"/>
          <w:lang w:eastAsia="en-US"/>
        </w:rPr>
        <w:t>§ 32i</w:t>
      </w:r>
    </w:p>
    <w:p w:rsidR="00125547" w:rsidRPr="00491104" w:rsidRDefault="00125547" w:rsidP="00686D13">
      <w:pPr>
        <w:keepNext/>
        <w:keepLines/>
        <w:suppressAutoHyphens w:val="0"/>
        <w:jc w:val="center"/>
        <w:rPr>
          <w:rFonts w:ascii="Times New Roman" w:hAnsi="Times New Roman"/>
          <w:b/>
          <w:szCs w:val="24"/>
          <w:u w:val="single"/>
          <w:lang w:eastAsia="en-US"/>
        </w:rPr>
      </w:pPr>
      <w:r w:rsidRPr="00491104">
        <w:rPr>
          <w:rFonts w:ascii="Times New Roman" w:hAnsi="Times New Roman"/>
          <w:b/>
          <w:szCs w:val="24"/>
          <w:u w:val="single"/>
          <w:lang w:eastAsia="en-US"/>
        </w:rPr>
        <w:t>Ověřování nefinančních informací auditorem</w:t>
      </w:r>
    </w:p>
    <w:p w:rsidR="00125547" w:rsidRPr="00D33784" w:rsidRDefault="00125547" w:rsidP="00686D13">
      <w:pPr>
        <w:keepNext/>
        <w:keepLines/>
        <w:suppressAutoHyphens w:val="0"/>
        <w:jc w:val="center"/>
        <w:rPr>
          <w:rFonts w:ascii="Times New Roman" w:hAnsi="Times New Roman"/>
          <w:szCs w:val="24"/>
          <w:u w:val="single"/>
          <w:lang w:eastAsia="en-US"/>
        </w:rPr>
      </w:pPr>
    </w:p>
    <w:p w:rsidR="00125547" w:rsidRPr="00D33784" w:rsidRDefault="00125547" w:rsidP="0096514E">
      <w:pPr>
        <w:keepNext/>
        <w:keepLines/>
        <w:suppressAutoHyphens w:val="0"/>
        <w:ind w:firstLine="708"/>
        <w:jc w:val="both"/>
        <w:rPr>
          <w:rFonts w:ascii="Times New Roman" w:hAnsi="Times New Roman"/>
          <w:szCs w:val="24"/>
          <w:u w:val="single"/>
          <w:lang w:eastAsia="en-US"/>
        </w:rPr>
      </w:pPr>
      <w:r w:rsidRPr="00D33784">
        <w:rPr>
          <w:rFonts w:ascii="Times New Roman" w:hAnsi="Times New Roman"/>
          <w:szCs w:val="24"/>
          <w:u w:val="single"/>
          <w:lang w:eastAsia="en-US"/>
        </w:rPr>
        <w:t>Auditor ověří, zda byly uvedeny nefinanční informace podle § 32g.“</w:t>
      </w:r>
      <w:r>
        <w:rPr>
          <w:rFonts w:ascii="Times New Roman" w:hAnsi="Times New Roman"/>
          <w:szCs w:val="24"/>
          <w:u w:val="single"/>
          <w:lang w:eastAsia="en-US"/>
        </w:rPr>
        <w:t>.</w:t>
      </w:r>
    </w:p>
    <w:p w:rsidR="00125547" w:rsidRDefault="00125547" w:rsidP="0096514E">
      <w:pPr>
        <w:keepNext/>
        <w:keepLines/>
        <w:suppressAutoHyphens w:val="0"/>
        <w:jc w:val="both"/>
        <w:rPr>
          <w:rFonts w:ascii="Times New Roman" w:hAnsi="Times New Roman"/>
          <w:i/>
          <w:szCs w:val="24"/>
          <w:lang w:eastAsia="en-US"/>
        </w:rPr>
      </w:pPr>
    </w:p>
    <w:p w:rsidR="00125547" w:rsidRDefault="00125547" w:rsidP="000B2E34">
      <w:pPr>
        <w:keepNext/>
        <w:keepLines/>
        <w:suppressAutoHyphens w:val="0"/>
        <w:jc w:val="both"/>
        <w:rPr>
          <w:rFonts w:ascii="Times New Roman" w:hAnsi="Times New Roman"/>
          <w:szCs w:val="24"/>
          <w:u w:val="single"/>
          <w:lang w:eastAsia="en-US"/>
        </w:rPr>
      </w:pPr>
      <w:r w:rsidRPr="00D33784">
        <w:rPr>
          <w:rFonts w:ascii="Times New Roman" w:hAnsi="Times New Roman"/>
          <w:szCs w:val="24"/>
          <w:u w:val="single"/>
          <w:lang w:eastAsia="en-US"/>
        </w:rPr>
        <w:t xml:space="preserve">CELEX 32014L0095 </w:t>
      </w:r>
    </w:p>
    <w:p w:rsidR="00125547" w:rsidRPr="00D33784" w:rsidRDefault="00125547" w:rsidP="000B2E34">
      <w:pPr>
        <w:keepNext/>
        <w:keepLines/>
        <w:suppressAutoHyphens w:val="0"/>
        <w:jc w:val="both"/>
        <w:rPr>
          <w:rFonts w:ascii="Times New Roman" w:hAnsi="Times New Roman"/>
          <w:szCs w:val="24"/>
          <w:u w:val="single"/>
          <w:lang w:eastAsia="en-US"/>
        </w:rPr>
      </w:pPr>
    </w:p>
    <w:p w:rsidR="00125547" w:rsidRDefault="00125547" w:rsidP="0096514E">
      <w:pPr>
        <w:keepNext/>
        <w:keepLines/>
        <w:suppressAutoHyphens w:val="0"/>
        <w:ind w:firstLine="708"/>
        <w:jc w:val="both"/>
        <w:rPr>
          <w:rFonts w:ascii="Times New Roman" w:hAnsi="Times New Roman"/>
          <w:szCs w:val="24"/>
          <w:lang w:eastAsia="en-US"/>
        </w:rPr>
      </w:pPr>
      <w:r>
        <w:rPr>
          <w:rFonts w:ascii="Times New Roman" w:hAnsi="Times New Roman"/>
          <w:szCs w:val="24"/>
          <w:lang w:eastAsia="en-US"/>
        </w:rPr>
        <w:t xml:space="preserve">Dosavadní </w:t>
      </w:r>
      <w:r w:rsidRPr="003E5A54">
        <w:rPr>
          <w:rFonts w:ascii="Times New Roman" w:hAnsi="Times New Roman"/>
          <w:szCs w:val="24"/>
          <w:lang w:eastAsia="en-US"/>
        </w:rPr>
        <w:t>část osmá se označuje jako část devátá</w:t>
      </w:r>
      <w:r>
        <w:rPr>
          <w:rFonts w:ascii="Times New Roman" w:hAnsi="Times New Roman"/>
          <w:szCs w:val="24"/>
          <w:lang w:eastAsia="en-US"/>
        </w:rPr>
        <w:t>.</w:t>
      </w:r>
    </w:p>
    <w:p w:rsidR="00125547" w:rsidRDefault="00125547" w:rsidP="00686D13">
      <w:pPr>
        <w:keepNext/>
        <w:keepLines/>
        <w:suppressAutoHyphens w:val="0"/>
        <w:ind w:firstLine="708"/>
        <w:rPr>
          <w:rFonts w:ascii="Times New Roman" w:hAnsi="Times New Roman"/>
          <w:szCs w:val="24"/>
          <w:lang w:eastAsia="en-US"/>
        </w:rPr>
      </w:pPr>
    </w:p>
    <w:p w:rsidR="00125547" w:rsidRDefault="00125547" w:rsidP="00686D13">
      <w:pPr>
        <w:pStyle w:val="Textlnku"/>
        <w:keepNext/>
        <w:keepLines/>
        <w:numPr>
          <w:ilvl w:val="0"/>
          <w:numId w:val="2"/>
        </w:numPr>
        <w:spacing w:before="0" w:after="240"/>
        <w:ind w:left="425" w:hanging="425"/>
        <w:rPr>
          <w:sz w:val="24"/>
          <w:szCs w:val="24"/>
        </w:rPr>
      </w:pPr>
      <w:r>
        <w:rPr>
          <w:sz w:val="24"/>
          <w:szCs w:val="24"/>
        </w:rPr>
        <w:t xml:space="preserve">V § 37a odst. 1 se na konci textu písmene l) doplňují slova „nebo samostatnou zprávu podle § 32h“. </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37a odst. 1 se za písmeno l) vkládá nové písmeno m), které zní:</w:t>
      </w:r>
    </w:p>
    <w:p w:rsidR="00125547" w:rsidRDefault="00125547" w:rsidP="002A2F99">
      <w:pPr>
        <w:pStyle w:val="Textlnku"/>
        <w:keepNext/>
        <w:keepLines/>
        <w:spacing w:before="0" w:after="240"/>
        <w:ind w:firstLine="0"/>
        <w:rPr>
          <w:sz w:val="24"/>
          <w:szCs w:val="24"/>
        </w:rPr>
      </w:pPr>
      <w:r>
        <w:rPr>
          <w:sz w:val="24"/>
          <w:szCs w:val="24"/>
        </w:rPr>
        <w:t>„m) neuvede a nezveřejní nefinanční informace podle § 32g,“.</w:t>
      </w:r>
    </w:p>
    <w:p w:rsidR="00125547" w:rsidRPr="003E5A54" w:rsidRDefault="00125547" w:rsidP="00686D13">
      <w:pPr>
        <w:pStyle w:val="Textlnku"/>
        <w:keepNext/>
        <w:keepLines/>
        <w:spacing w:before="0" w:after="240"/>
        <w:ind w:left="425" w:firstLine="0"/>
        <w:rPr>
          <w:sz w:val="24"/>
          <w:szCs w:val="24"/>
        </w:rPr>
      </w:pPr>
      <w:r>
        <w:rPr>
          <w:sz w:val="24"/>
          <w:szCs w:val="24"/>
        </w:rPr>
        <w:t xml:space="preserve">Dosavadní písmena m) až p) se označují jako písmena n) až q). </w:t>
      </w:r>
    </w:p>
    <w:p w:rsidR="00125547" w:rsidRDefault="00125547" w:rsidP="00391F84">
      <w:pPr>
        <w:pStyle w:val="Textlnku"/>
        <w:keepNext/>
        <w:keepLines/>
        <w:numPr>
          <w:ilvl w:val="0"/>
          <w:numId w:val="2"/>
        </w:numPr>
        <w:spacing w:before="0" w:after="240"/>
        <w:ind w:left="425" w:hanging="425"/>
        <w:rPr>
          <w:sz w:val="24"/>
          <w:szCs w:val="24"/>
        </w:rPr>
      </w:pPr>
      <w:r>
        <w:rPr>
          <w:sz w:val="24"/>
          <w:szCs w:val="24"/>
        </w:rPr>
        <w:t xml:space="preserve">V § 37a odst. 2 se na konci textu písmene d) doplňují slova „nebo nezveřejní samostatnou zprávu podle § 32h“. </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37a odst. 2 se za písmeno d) vkládá nové písmeno e), které zní:</w:t>
      </w:r>
    </w:p>
    <w:p w:rsidR="00125547" w:rsidRDefault="00125547" w:rsidP="002A2F99">
      <w:pPr>
        <w:pStyle w:val="Textlnku"/>
        <w:keepNext/>
        <w:keepLines/>
        <w:spacing w:before="0" w:after="240"/>
        <w:ind w:firstLine="0"/>
        <w:rPr>
          <w:sz w:val="24"/>
          <w:szCs w:val="24"/>
        </w:rPr>
      </w:pPr>
      <w:r>
        <w:rPr>
          <w:sz w:val="24"/>
          <w:szCs w:val="24"/>
        </w:rPr>
        <w:t>„e) neuvede a nezveřejní nefinanční informace podle § 32g,“.</w:t>
      </w:r>
    </w:p>
    <w:p w:rsidR="00125547" w:rsidRPr="003E5A54" w:rsidRDefault="00125547" w:rsidP="00686D13">
      <w:pPr>
        <w:pStyle w:val="Textlnku"/>
        <w:keepNext/>
        <w:keepLines/>
        <w:spacing w:before="0" w:after="240"/>
        <w:ind w:left="425" w:firstLine="0"/>
        <w:rPr>
          <w:sz w:val="24"/>
          <w:szCs w:val="24"/>
        </w:rPr>
      </w:pPr>
      <w:r>
        <w:rPr>
          <w:sz w:val="24"/>
          <w:szCs w:val="24"/>
        </w:rPr>
        <w:t xml:space="preserve">Dosavadní písmena e) až j) se označují jako písmena f) až k). </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37a odst. 4 písm. b) se slovo „n)“ nahrazuje slovem „o)“.</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37a odst. 4 písm. d) se slova „o) nebo p)“ nahrazují slovy „p) nebo q)“.</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 xml:space="preserve">V § 37aa odst. 2 se slova </w:t>
      </w:r>
      <w:r w:rsidRPr="000F33B6">
        <w:rPr>
          <w:sz w:val="24"/>
          <w:szCs w:val="24"/>
        </w:rPr>
        <w:t>„tato zjištěná“</w:t>
      </w:r>
      <w:r w:rsidR="000F33B6" w:rsidRPr="000F33B6">
        <w:rPr>
          <w:sz w:val="24"/>
          <w:szCs w:val="24"/>
        </w:rPr>
        <w:t xml:space="preserve"> zrušují</w:t>
      </w:r>
      <w:r w:rsidRPr="000F33B6">
        <w:rPr>
          <w:sz w:val="24"/>
          <w:szCs w:val="24"/>
        </w:rPr>
        <w:t xml:space="preserve"> a slova</w:t>
      </w:r>
      <w:r>
        <w:rPr>
          <w:color w:val="FF00FF"/>
          <w:sz w:val="24"/>
          <w:szCs w:val="24"/>
        </w:rPr>
        <w:t xml:space="preserve"> </w:t>
      </w:r>
      <w:r>
        <w:rPr>
          <w:sz w:val="24"/>
          <w:szCs w:val="24"/>
        </w:rPr>
        <w:t>„neupravená o položky podle § 26 odst. 3“</w:t>
      </w:r>
      <w:r w:rsidR="000F33B6">
        <w:rPr>
          <w:sz w:val="24"/>
          <w:szCs w:val="24"/>
        </w:rPr>
        <w:t xml:space="preserve"> se nahrazují slovy „zjištěn</w:t>
      </w:r>
      <w:r w:rsidR="00B56253">
        <w:rPr>
          <w:sz w:val="24"/>
          <w:szCs w:val="24"/>
        </w:rPr>
        <w:t>á</w:t>
      </w:r>
      <w:r w:rsidR="000F33B6">
        <w:rPr>
          <w:sz w:val="24"/>
          <w:szCs w:val="24"/>
        </w:rPr>
        <w:t xml:space="preserve"> v řízení o uložení pokuty</w:t>
      </w:r>
      <w:r>
        <w:rPr>
          <w:sz w:val="24"/>
          <w:szCs w:val="24"/>
        </w:rPr>
        <w:t>.</w:t>
      </w:r>
    </w:p>
    <w:p w:rsidR="00125547" w:rsidRDefault="00125547" w:rsidP="00686D13">
      <w:pPr>
        <w:pStyle w:val="Textlnku"/>
        <w:keepNext/>
        <w:keepLines/>
        <w:numPr>
          <w:ilvl w:val="0"/>
          <w:numId w:val="2"/>
        </w:numPr>
        <w:spacing w:before="0" w:after="240"/>
        <w:ind w:left="425" w:hanging="425"/>
        <w:rPr>
          <w:sz w:val="24"/>
          <w:szCs w:val="24"/>
        </w:rPr>
      </w:pPr>
      <w:r>
        <w:rPr>
          <w:sz w:val="24"/>
          <w:szCs w:val="24"/>
        </w:rPr>
        <w:t>V § 37ab odst. 2 se slovo „k)“ nahrazuje slovy „o) nebo p)“.</w:t>
      </w:r>
    </w:p>
    <w:p w:rsidR="00125547" w:rsidRDefault="00125547" w:rsidP="00686D13">
      <w:pPr>
        <w:pStyle w:val="Textlnku"/>
        <w:keepNext/>
        <w:keepLines/>
        <w:numPr>
          <w:ilvl w:val="0"/>
          <w:numId w:val="2"/>
        </w:numPr>
        <w:spacing w:before="0" w:after="240"/>
        <w:ind w:left="425" w:hanging="425"/>
        <w:rPr>
          <w:sz w:val="24"/>
          <w:szCs w:val="24"/>
        </w:rPr>
      </w:pPr>
      <w:r w:rsidRPr="00E50328">
        <w:rPr>
          <w:color w:val="000000"/>
          <w:sz w:val="24"/>
          <w:szCs w:val="24"/>
        </w:rPr>
        <w:t>V § 37b odst. 1 se slova „§ 30 odst. 5“ nahrazují slovy „§ 30 odst. 9“.</w:t>
      </w:r>
    </w:p>
    <w:p w:rsidR="00125547" w:rsidRPr="008E0F45" w:rsidRDefault="00125547" w:rsidP="00686D13">
      <w:pPr>
        <w:pStyle w:val="Textlnku"/>
        <w:keepNext/>
        <w:keepLines/>
        <w:spacing w:before="0" w:after="240"/>
        <w:ind w:left="425" w:firstLine="0"/>
        <w:rPr>
          <w:sz w:val="24"/>
          <w:szCs w:val="24"/>
        </w:rPr>
      </w:pPr>
    </w:p>
    <w:p w:rsidR="00125547" w:rsidRPr="005923A6" w:rsidRDefault="00125547" w:rsidP="005923A6">
      <w:pPr>
        <w:pStyle w:val="Textlnku"/>
        <w:keepNext/>
        <w:keepLines/>
        <w:jc w:val="center"/>
        <w:rPr>
          <w:sz w:val="24"/>
          <w:szCs w:val="24"/>
        </w:rPr>
      </w:pPr>
      <w:r w:rsidRPr="005923A6">
        <w:rPr>
          <w:sz w:val="24"/>
          <w:szCs w:val="24"/>
        </w:rPr>
        <w:t>Čl. I</w:t>
      </w:r>
      <w:r>
        <w:rPr>
          <w:sz w:val="24"/>
          <w:szCs w:val="24"/>
        </w:rPr>
        <w:t>I</w:t>
      </w:r>
    </w:p>
    <w:p w:rsidR="00125547" w:rsidRPr="005923A6" w:rsidRDefault="00125547" w:rsidP="005923A6">
      <w:pPr>
        <w:pStyle w:val="Textlnku"/>
        <w:keepNext/>
        <w:keepLines/>
        <w:jc w:val="center"/>
        <w:rPr>
          <w:b/>
          <w:sz w:val="24"/>
          <w:szCs w:val="24"/>
        </w:rPr>
      </w:pPr>
      <w:r w:rsidRPr="005923A6">
        <w:rPr>
          <w:b/>
          <w:sz w:val="24"/>
          <w:szCs w:val="24"/>
        </w:rPr>
        <w:t>Účinnost</w:t>
      </w:r>
    </w:p>
    <w:p w:rsidR="00125547" w:rsidRDefault="00125547" w:rsidP="005923A6">
      <w:pPr>
        <w:pStyle w:val="Textlnku"/>
        <w:keepNext/>
        <w:keepLines/>
        <w:spacing w:before="0"/>
        <w:jc w:val="center"/>
        <w:rPr>
          <w:sz w:val="24"/>
          <w:szCs w:val="24"/>
        </w:rPr>
      </w:pPr>
    </w:p>
    <w:p w:rsidR="00125547" w:rsidRPr="00AD2A00" w:rsidRDefault="00125547" w:rsidP="005923A6">
      <w:pPr>
        <w:pStyle w:val="Textlnku"/>
        <w:keepNext/>
        <w:keepLines/>
        <w:spacing w:before="0"/>
        <w:jc w:val="center"/>
        <w:rPr>
          <w:sz w:val="24"/>
          <w:szCs w:val="24"/>
        </w:rPr>
      </w:pPr>
      <w:r w:rsidRPr="005923A6">
        <w:rPr>
          <w:sz w:val="24"/>
          <w:szCs w:val="24"/>
        </w:rPr>
        <w:t xml:space="preserve">Tento zákon nabývá účinnosti dnem 1. </w:t>
      </w:r>
      <w:r>
        <w:rPr>
          <w:sz w:val="24"/>
          <w:szCs w:val="24"/>
        </w:rPr>
        <w:t xml:space="preserve">ledna </w:t>
      </w:r>
      <w:r w:rsidRPr="005923A6">
        <w:rPr>
          <w:sz w:val="24"/>
          <w:szCs w:val="24"/>
        </w:rPr>
        <w:t>201</w:t>
      </w:r>
      <w:r>
        <w:rPr>
          <w:sz w:val="24"/>
          <w:szCs w:val="24"/>
        </w:rPr>
        <w:t>7</w:t>
      </w:r>
      <w:r w:rsidRPr="005923A6">
        <w:rPr>
          <w:sz w:val="24"/>
          <w:szCs w:val="24"/>
        </w:rPr>
        <w:t>.</w:t>
      </w:r>
    </w:p>
    <w:sectPr w:rsidR="00125547" w:rsidRPr="00AD2A00" w:rsidSect="0013095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DD8" w:rsidRDefault="003B2DD8" w:rsidP="002667B3">
      <w:r>
        <w:separator/>
      </w:r>
    </w:p>
  </w:endnote>
  <w:endnote w:type="continuationSeparator" w:id="0">
    <w:p w:rsidR="003B2DD8" w:rsidRDefault="003B2DD8" w:rsidP="0026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547" w:rsidRDefault="003B665D">
    <w:pPr>
      <w:pStyle w:val="Zpat"/>
      <w:jc w:val="center"/>
    </w:pPr>
    <w:r>
      <w:fldChar w:fldCharType="begin"/>
    </w:r>
    <w:r>
      <w:instrText>PAGE   \* MERGEFORMAT</w:instrText>
    </w:r>
    <w:r>
      <w:fldChar w:fldCharType="separate"/>
    </w:r>
    <w:r w:rsidR="00C018F7">
      <w:rPr>
        <w:noProof/>
      </w:rPr>
      <w:t>1</w:t>
    </w:r>
    <w:r>
      <w:rPr>
        <w:noProof/>
      </w:rPr>
      <w:fldChar w:fldCharType="end"/>
    </w:r>
  </w:p>
  <w:p w:rsidR="00125547" w:rsidRDefault="0012554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DD8" w:rsidRDefault="003B2DD8" w:rsidP="002667B3">
      <w:r>
        <w:separator/>
      </w:r>
    </w:p>
  </w:footnote>
  <w:footnote w:type="continuationSeparator" w:id="0">
    <w:p w:rsidR="003B2DD8" w:rsidRDefault="003B2DD8" w:rsidP="002667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6"/>
    <w:lvl w:ilvl="0">
      <w:start w:val="1"/>
      <w:numFmt w:val="decimal"/>
      <w:lvlText w:val="%1)"/>
      <w:lvlJc w:val="left"/>
      <w:pPr>
        <w:tabs>
          <w:tab w:val="num" w:pos="283"/>
        </w:tabs>
        <w:ind w:left="283" w:hanging="283"/>
      </w:pPr>
      <w:rPr>
        <w:rFonts w:cs="Times New Roman"/>
      </w:rPr>
    </w:lvl>
  </w:abstractNum>
  <w:abstractNum w:abstractNumId="1">
    <w:nsid w:val="000D2272"/>
    <w:multiLevelType w:val="hybridMultilevel"/>
    <w:tmpl w:val="6C4047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2A90107"/>
    <w:multiLevelType w:val="hybridMultilevel"/>
    <w:tmpl w:val="4D5E6D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DD1EF9"/>
    <w:multiLevelType w:val="hybridMultilevel"/>
    <w:tmpl w:val="7CF2E0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4D23916"/>
    <w:multiLevelType w:val="hybridMultilevel"/>
    <w:tmpl w:val="0B1A29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FD73B1"/>
    <w:multiLevelType w:val="hybridMultilevel"/>
    <w:tmpl w:val="18946B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D7F724F"/>
    <w:multiLevelType w:val="hybridMultilevel"/>
    <w:tmpl w:val="FCD048FA"/>
    <w:lvl w:ilvl="0" w:tplc="0405000F">
      <w:start w:val="1"/>
      <w:numFmt w:val="decimal"/>
      <w:lvlText w:val="%1."/>
      <w:lvlJc w:val="left"/>
      <w:pPr>
        <w:ind w:left="1428" w:hanging="360"/>
      </w:pPr>
      <w:rPr>
        <w:rFonts w:cs="Times New Roman"/>
      </w:rPr>
    </w:lvl>
    <w:lvl w:ilvl="1" w:tplc="04050019" w:tentative="1">
      <w:start w:val="1"/>
      <w:numFmt w:val="lowerLetter"/>
      <w:lvlText w:val="%2."/>
      <w:lvlJc w:val="left"/>
      <w:pPr>
        <w:ind w:left="2148" w:hanging="360"/>
      </w:pPr>
      <w:rPr>
        <w:rFonts w:cs="Times New Roman"/>
      </w:rPr>
    </w:lvl>
    <w:lvl w:ilvl="2" w:tplc="0405001B" w:tentative="1">
      <w:start w:val="1"/>
      <w:numFmt w:val="lowerRoman"/>
      <w:lvlText w:val="%3."/>
      <w:lvlJc w:val="right"/>
      <w:pPr>
        <w:ind w:left="2868" w:hanging="180"/>
      </w:pPr>
      <w:rPr>
        <w:rFonts w:cs="Times New Roman"/>
      </w:rPr>
    </w:lvl>
    <w:lvl w:ilvl="3" w:tplc="0405000F" w:tentative="1">
      <w:start w:val="1"/>
      <w:numFmt w:val="decimal"/>
      <w:lvlText w:val="%4."/>
      <w:lvlJc w:val="left"/>
      <w:pPr>
        <w:ind w:left="3588" w:hanging="360"/>
      </w:pPr>
      <w:rPr>
        <w:rFonts w:cs="Times New Roman"/>
      </w:rPr>
    </w:lvl>
    <w:lvl w:ilvl="4" w:tplc="04050019" w:tentative="1">
      <w:start w:val="1"/>
      <w:numFmt w:val="lowerLetter"/>
      <w:lvlText w:val="%5."/>
      <w:lvlJc w:val="left"/>
      <w:pPr>
        <w:ind w:left="4308" w:hanging="360"/>
      </w:pPr>
      <w:rPr>
        <w:rFonts w:cs="Times New Roman"/>
      </w:rPr>
    </w:lvl>
    <w:lvl w:ilvl="5" w:tplc="0405001B" w:tentative="1">
      <w:start w:val="1"/>
      <w:numFmt w:val="lowerRoman"/>
      <w:lvlText w:val="%6."/>
      <w:lvlJc w:val="right"/>
      <w:pPr>
        <w:ind w:left="5028" w:hanging="180"/>
      </w:pPr>
      <w:rPr>
        <w:rFonts w:cs="Times New Roman"/>
      </w:rPr>
    </w:lvl>
    <w:lvl w:ilvl="6" w:tplc="0405000F" w:tentative="1">
      <w:start w:val="1"/>
      <w:numFmt w:val="decimal"/>
      <w:lvlText w:val="%7."/>
      <w:lvlJc w:val="left"/>
      <w:pPr>
        <w:ind w:left="5748" w:hanging="360"/>
      </w:pPr>
      <w:rPr>
        <w:rFonts w:cs="Times New Roman"/>
      </w:rPr>
    </w:lvl>
    <w:lvl w:ilvl="7" w:tplc="04050019" w:tentative="1">
      <w:start w:val="1"/>
      <w:numFmt w:val="lowerLetter"/>
      <w:lvlText w:val="%8."/>
      <w:lvlJc w:val="left"/>
      <w:pPr>
        <w:ind w:left="6468" w:hanging="360"/>
      </w:pPr>
      <w:rPr>
        <w:rFonts w:cs="Times New Roman"/>
      </w:rPr>
    </w:lvl>
    <w:lvl w:ilvl="8" w:tplc="0405001B" w:tentative="1">
      <w:start w:val="1"/>
      <w:numFmt w:val="lowerRoman"/>
      <w:lvlText w:val="%9."/>
      <w:lvlJc w:val="right"/>
      <w:pPr>
        <w:ind w:left="7188" w:hanging="180"/>
      </w:pPr>
      <w:rPr>
        <w:rFonts w:cs="Times New Roman"/>
      </w:rPr>
    </w:lvl>
  </w:abstractNum>
  <w:abstractNum w:abstractNumId="7">
    <w:nsid w:val="47276C87"/>
    <w:multiLevelType w:val="hybridMultilevel"/>
    <w:tmpl w:val="5DB2F8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3E62C38"/>
    <w:multiLevelType w:val="hybridMultilevel"/>
    <w:tmpl w:val="4CC69B7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7A2D66E1"/>
    <w:multiLevelType w:val="hybridMultilevel"/>
    <w:tmpl w:val="126647A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9"/>
  </w:num>
  <w:num w:numId="3">
    <w:abstractNumId w:val="6"/>
  </w:num>
  <w:num w:numId="4">
    <w:abstractNumId w:val="8"/>
  </w:num>
  <w:num w:numId="5">
    <w:abstractNumId w:val="3"/>
  </w:num>
  <w:num w:numId="6">
    <w:abstractNumId w:val="4"/>
  </w:num>
  <w:num w:numId="7">
    <w:abstractNumId w:val="5"/>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EED"/>
    <w:rsid w:val="0001121A"/>
    <w:rsid w:val="00017BD6"/>
    <w:rsid w:val="0002747D"/>
    <w:rsid w:val="0003225C"/>
    <w:rsid w:val="00033F0A"/>
    <w:rsid w:val="000467F6"/>
    <w:rsid w:val="000A3DA8"/>
    <w:rsid w:val="000A4DC5"/>
    <w:rsid w:val="000B2E34"/>
    <w:rsid w:val="000C23B1"/>
    <w:rsid w:val="000C2B41"/>
    <w:rsid w:val="000D2532"/>
    <w:rsid w:val="000D3754"/>
    <w:rsid w:val="000D7376"/>
    <w:rsid w:val="000E1F50"/>
    <w:rsid w:val="000F33B6"/>
    <w:rsid w:val="00125547"/>
    <w:rsid w:val="0013095D"/>
    <w:rsid w:val="001310BF"/>
    <w:rsid w:val="0013598D"/>
    <w:rsid w:val="00154F5C"/>
    <w:rsid w:val="00173AA4"/>
    <w:rsid w:val="0019123A"/>
    <w:rsid w:val="00194FF4"/>
    <w:rsid w:val="001A6A44"/>
    <w:rsid w:val="001C550A"/>
    <w:rsid w:val="00207D87"/>
    <w:rsid w:val="002132E7"/>
    <w:rsid w:val="002270D6"/>
    <w:rsid w:val="00233426"/>
    <w:rsid w:val="00252279"/>
    <w:rsid w:val="002667B3"/>
    <w:rsid w:val="00275202"/>
    <w:rsid w:val="00296487"/>
    <w:rsid w:val="002A2F99"/>
    <w:rsid w:val="002C3C64"/>
    <w:rsid w:val="002C56ED"/>
    <w:rsid w:val="002D6B66"/>
    <w:rsid w:val="002E2C0E"/>
    <w:rsid w:val="002F0B22"/>
    <w:rsid w:val="002F5B5B"/>
    <w:rsid w:val="003062E2"/>
    <w:rsid w:val="0032610E"/>
    <w:rsid w:val="00342F02"/>
    <w:rsid w:val="00385DF1"/>
    <w:rsid w:val="00391F84"/>
    <w:rsid w:val="00394EC0"/>
    <w:rsid w:val="003B2DD8"/>
    <w:rsid w:val="003B665D"/>
    <w:rsid w:val="003B67AF"/>
    <w:rsid w:val="003D77D3"/>
    <w:rsid w:val="003E5A54"/>
    <w:rsid w:val="00426CA8"/>
    <w:rsid w:val="00445C3A"/>
    <w:rsid w:val="00447EC3"/>
    <w:rsid w:val="004552C1"/>
    <w:rsid w:val="00470A24"/>
    <w:rsid w:val="00474C81"/>
    <w:rsid w:val="00483E8A"/>
    <w:rsid w:val="00491104"/>
    <w:rsid w:val="004A1C7B"/>
    <w:rsid w:val="004D4E95"/>
    <w:rsid w:val="004F6D8F"/>
    <w:rsid w:val="005047E0"/>
    <w:rsid w:val="00523E0B"/>
    <w:rsid w:val="00527354"/>
    <w:rsid w:val="00544E95"/>
    <w:rsid w:val="0055439C"/>
    <w:rsid w:val="0055608D"/>
    <w:rsid w:val="00561101"/>
    <w:rsid w:val="00561351"/>
    <w:rsid w:val="00573C74"/>
    <w:rsid w:val="005923A6"/>
    <w:rsid w:val="005C5DB8"/>
    <w:rsid w:val="005E2762"/>
    <w:rsid w:val="005E40B4"/>
    <w:rsid w:val="0061377C"/>
    <w:rsid w:val="0062745E"/>
    <w:rsid w:val="006410B8"/>
    <w:rsid w:val="00686D13"/>
    <w:rsid w:val="006A6374"/>
    <w:rsid w:val="006B1801"/>
    <w:rsid w:val="006B4940"/>
    <w:rsid w:val="006B6203"/>
    <w:rsid w:val="006C591A"/>
    <w:rsid w:val="006C6B1B"/>
    <w:rsid w:val="006D0B9D"/>
    <w:rsid w:val="006E77B4"/>
    <w:rsid w:val="006F7CFD"/>
    <w:rsid w:val="007124EB"/>
    <w:rsid w:val="007474CC"/>
    <w:rsid w:val="00767E90"/>
    <w:rsid w:val="00774F80"/>
    <w:rsid w:val="007834D8"/>
    <w:rsid w:val="007B1EED"/>
    <w:rsid w:val="007E05DC"/>
    <w:rsid w:val="007E0AED"/>
    <w:rsid w:val="007F17DA"/>
    <w:rsid w:val="00800051"/>
    <w:rsid w:val="00804F87"/>
    <w:rsid w:val="008115CA"/>
    <w:rsid w:val="00840CC2"/>
    <w:rsid w:val="008729ED"/>
    <w:rsid w:val="008B44E2"/>
    <w:rsid w:val="008B576D"/>
    <w:rsid w:val="008C106A"/>
    <w:rsid w:val="008D0E9E"/>
    <w:rsid w:val="008D708F"/>
    <w:rsid w:val="008E0F45"/>
    <w:rsid w:val="00922F17"/>
    <w:rsid w:val="00931870"/>
    <w:rsid w:val="0096514E"/>
    <w:rsid w:val="00993E84"/>
    <w:rsid w:val="009A0D01"/>
    <w:rsid w:val="009B7C4E"/>
    <w:rsid w:val="009C69B3"/>
    <w:rsid w:val="009D662D"/>
    <w:rsid w:val="00A0768E"/>
    <w:rsid w:val="00A10D6D"/>
    <w:rsid w:val="00A12842"/>
    <w:rsid w:val="00A3070D"/>
    <w:rsid w:val="00A742E9"/>
    <w:rsid w:val="00A83C23"/>
    <w:rsid w:val="00A915A0"/>
    <w:rsid w:val="00A94A1B"/>
    <w:rsid w:val="00AA52B0"/>
    <w:rsid w:val="00AB358E"/>
    <w:rsid w:val="00AB4DFE"/>
    <w:rsid w:val="00AB6689"/>
    <w:rsid w:val="00AC1473"/>
    <w:rsid w:val="00AC4D67"/>
    <w:rsid w:val="00AD2A00"/>
    <w:rsid w:val="00AF798E"/>
    <w:rsid w:val="00B03645"/>
    <w:rsid w:val="00B11ADE"/>
    <w:rsid w:val="00B40F91"/>
    <w:rsid w:val="00B46914"/>
    <w:rsid w:val="00B56253"/>
    <w:rsid w:val="00B92370"/>
    <w:rsid w:val="00BC158B"/>
    <w:rsid w:val="00BE0DA2"/>
    <w:rsid w:val="00BF0A70"/>
    <w:rsid w:val="00BF4B70"/>
    <w:rsid w:val="00C018F7"/>
    <w:rsid w:val="00C17F42"/>
    <w:rsid w:val="00C21B73"/>
    <w:rsid w:val="00CB4079"/>
    <w:rsid w:val="00CB49F3"/>
    <w:rsid w:val="00CC4F20"/>
    <w:rsid w:val="00CC7CF6"/>
    <w:rsid w:val="00CD5EC0"/>
    <w:rsid w:val="00CD6CFA"/>
    <w:rsid w:val="00CE0ADE"/>
    <w:rsid w:val="00CE4592"/>
    <w:rsid w:val="00CF531F"/>
    <w:rsid w:val="00CF707F"/>
    <w:rsid w:val="00D00170"/>
    <w:rsid w:val="00D33784"/>
    <w:rsid w:val="00D41E0A"/>
    <w:rsid w:val="00D53867"/>
    <w:rsid w:val="00D615C9"/>
    <w:rsid w:val="00D66795"/>
    <w:rsid w:val="00D949D3"/>
    <w:rsid w:val="00DE1633"/>
    <w:rsid w:val="00DF5976"/>
    <w:rsid w:val="00E246DD"/>
    <w:rsid w:val="00E50328"/>
    <w:rsid w:val="00E777B6"/>
    <w:rsid w:val="00E82F0C"/>
    <w:rsid w:val="00E94BE5"/>
    <w:rsid w:val="00EA2CB8"/>
    <w:rsid w:val="00EA3121"/>
    <w:rsid w:val="00EE15B8"/>
    <w:rsid w:val="00EF69B3"/>
    <w:rsid w:val="00F334D4"/>
    <w:rsid w:val="00F46260"/>
    <w:rsid w:val="00F64826"/>
    <w:rsid w:val="00F7066B"/>
    <w:rsid w:val="00F7088A"/>
    <w:rsid w:val="00FC4A2C"/>
    <w:rsid w:val="00FD2DD3"/>
    <w:rsid w:val="00FD500C"/>
    <w:rsid w:val="00FF5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1EED"/>
    <w:pPr>
      <w:suppressAutoHyphens/>
    </w:pPr>
    <w:rPr>
      <w:rFonts w:ascii="Arial" w:eastAsia="Times New Roman" w:hAnsi="Arial"/>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32610E"/>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sid w:val="0032610E"/>
    <w:rPr>
      <w:rFonts w:ascii="Tahoma" w:hAnsi="Tahoma"/>
      <w:sz w:val="16"/>
      <w:lang w:eastAsia="ar-SA" w:bidi="ar-SA"/>
    </w:rPr>
  </w:style>
  <w:style w:type="paragraph" w:customStyle="1" w:styleId="WW-Zkladntext2">
    <w:name w:val="WW-Základní text 2"/>
    <w:basedOn w:val="Normln"/>
    <w:uiPriority w:val="99"/>
    <w:rsid w:val="007B1EED"/>
    <w:pPr>
      <w:spacing w:line="360" w:lineRule="auto"/>
      <w:jc w:val="both"/>
    </w:pPr>
    <w:rPr>
      <w:b/>
    </w:rPr>
  </w:style>
  <w:style w:type="paragraph" w:styleId="Textpoznpodarou">
    <w:name w:val="footnote text"/>
    <w:basedOn w:val="Normln"/>
    <w:link w:val="TextpoznpodarouChar"/>
    <w:uiPriority w:val="99"/>
    <w:semiHidden/>
    <w:rsid w:val="002667B3"/>
    <w:rPr>
      <w:rFonts w:eastAsia="Calibri"/>
      <w:sz w:val="20"/>
    </w:rPr>
  </w:style>
  <w:style w:type="character" w:customStyle="1" w:styleId="TextpoznpodarouChar">
    <w:name w:val="Text pozn. pod čarou Char"/>
    <w:basedOn w:val="Standardnpsmoodstavce"/>
    <w:link w:val="Textpoznpodarou"/>
    <w:uiPriority w:val="99"/>
    <w:semiHidden/>
    <w:locked/>
    <w:rsid w:val="002667B3"/>
    <w:rPr>
      <w:rFonts w:ascii="Arial" w:hAnsi="Arial"/>
      <w:sz w:val="20"/>
      <w:lang w:eastAsia="ar-SA" w:bidi="ar-SA"/>
    </w:rPr>
  </w:style>
  <w:style w:type="character" w:styleId="Znakapoznpodarou">
    <w:name w:val="footnote reference"/>
    <w:basedOn w:val="Standardnpsmoodstavce"/>
    <w:uiPriority w:val="99"/>
    <w:semiHidden/>
    <w:rsid w:val="002667B3"/>
    <w:rPr>
      <w:rFonts w:cs="Times New Roman"/>
      <w:vertAlign w:val="superscript"/>
    </w:rPr>
  </w:style>
  <w:style w:type="paragraph" w:customStyle="1" w:styleId="Textlnku">
    <w:name w:val="Text článku"/>
    <w:basedOn w:val="Normln"/>
    <w:link w:val="TextlnkuChar"/>
    <w:uiPriority w:val="99"/>
    <w:rsid w:val="005E40B4"/>
    <w:pPr>
      <w:suppressAutoHyphens w:val="0"/>
      <w:spacing w:before="240"/>
      <w:ind w:firstLine="425"/>
      <w:jc w:val="both"/>
      <w:outlineLvl w:val="5"/>
    </w:pPr>
    <w:rPr>
      <w:rFonts w:ascii="Times New Roman" w:eastAsia="Calibri" w:hAnsi="Times New Roman"/>
      <w:sz w:val="20"/>
      <w:lang w:eastAsia="cs-CZ"/>
    </w:rPr>
  </w:style>
  <w:style w:type="character" w:customStyle="1" w:styleId="TextlnkuChar">
    <w:name w:val="Text článku Char"/>
    <w:link w:val="Textlnku"/>
    <w:uiPriority w:val="99"/>
    <w:locked/>
    <w:rsid w:val="005E40B4"/>
    <w:rPr>
      <w:rFonts w:ascii="Times New Roman" w:hAnsi="Times New Roman"/>
      <w:sz w:val="20"/>
      <w:lang w:eastAsia="cs-CZ"/>
    </w:rPr>
  </w:style>
  <w:style w:type="paragraph" w:styleId="Odstavecseseznamem">
    <w:name w:val="List Paragraph"/>
    <w:basedOn w:val="Normln"/>
    <w:uiPriority w:val="99"/>
    <w:qFormat/>
    <w:rsid w:val="003E5A54"/>
    <w:pPr>
      <w:ind w:left="720"/>
      <w:contextualSpacing/>
    </w:pPr>
  </w:style>
  <w:style w:type="character" w:styleId="Odkaznakoment">
    <w:name w:val="annotation reference"/>
    <w:basedOn w:val="Standardnpsmoodstavce"/>
    <w:uiPriority w:val="99"/>
    <w:semiHidden/>
    <w:rsid w:val="0032610E"/>
    <w:rPr>
      <w:rFonts w:cs="Times New Roman"/>
      <w:sz w:val="16"/>
    </w:rPr>
  </w:style>
  <w:style w:type="paragraph" w:styleId="Textkomente">
    <w:name w:val="annotation text"/>
    <w:basedOn w:val="Normln"/>
    <w:link w:val="TextkomenteChar"/>
    <w:uiPriority w:val="99"/>
    <w:semiHidden/>
    <w:rsid w:val="0032610E"/>
    <w:rPr>
      <w:rFonts w:eastAsia="Calibri"/>
      <w:sz w:val="20"/>
    </w:rPr>
  </w:style>
  <w:style w:type="character" w:customStyle="1" w:styleId="TextkomenteChar">
    <w:name w:val="Text komentáře Char"/>
    <w:basedOn w:val="Standardnpsmoodstavce"/>
    <w:link w:val="Textkomente"/>
    <w:uiPriority w:val="99"/>
    <w:semiHidden/>
    <w:locked/>
    <w:rsid w:val="0032610E"/>
    <w:rPr>
      <w:rFonts w:ascii="Arial" w:hAnsi="Arial"/>
      <w:sz w:val="20"/>
      <w:lang w:eastAsia="ar-SA" w:bidi="ar-SA"/>
    </w:rPr>
  </w:style>
  <w:style w:type="paragraph" w:styleId="Pedmtkomente">
    <w:name w:val="annotation subject"/>
    <w:basedOn w:val="Textkomente"/>
    <w:next w:val="Textkomente"/>
    <w:link w:val="PedmtkomenteChar"/>
    <w:uiPriority w:val="99"/>
    <w:semiHidden/>
    <w:rsid w:val="0032610E"/>
    <w:rPr>
      <w:b/>
      <w:bCs/>
    </w:rPr>
  </w:style>
  <w:style w:type="character" w:customStyle="1" w:styleId="PedmtkomenteChar">
    <w:name w:val="Předmět komentáře Char"/>
    <w:basedOn w:val="TextkomenteChar"/>
    <w:link w:val="Pedmtkomente"/>
    <w:uiPriority w:val="99"/>
    <w:semiHidden/>
    <w:locked/>
    <w:rsid w:val="0032610E"/>
    <w:rPr>
      <w:rFonts w:ascii="Arial" w:hAnsi="Arial"/>
      <w:b/>
      <w:sz w:val="20"/>
      <w:lang w:eastAsia="ar-SA" w:bidi="ar-SA"/>
    </w:rPr>
  </w:style>
  <w:style w:type="paragraph" w:styleId="Zhlav">
    <w:name w:val="header"/>
    <w:basedOn w:val="Normln"/>
    <w:link w:val="ZhlavChar"/>
    <w:uiPriority w:val="99"/>
    <w:rsid w:val="005923A6"/>
    <w:pPr>
      <w:tabs>
        <w:tab w:val="center" w:pos="4536"/>
        <w:tab w:val="right" w:pos="9072"/>
      </w:tabs>
    </w:pPr>
    <w:rPr>
      <w:rFonts w:eastAsia="Calibri"/>
      <w:sz w:val="20"/>
    </w:rPr>
  </w:style>
  <w:style w:type="character" w:customStyle="1" w:styleId="ZhlavChar">
    <w:name w:val="Záhlaví Char"/>
    <w:basedOn w:val="Standardnpsmoodstavce"/>
    <w:link w:val="Zhlav"/>
    <w:uiPriority w:val="99"/>
    <w:locked/>
    <w:rsid w:val="005923A6"/>
    <w:rPr>
      <w:rFonts w:ascii="Arial" w:hAnsi="Arial"/>
      <w:sz w:val="20"/>
      <w:lang w:eastAsia="ar-SA" w:bidi="ar-SA"/>
    </w:rPr>
  </w:style>
  <w:style w:type="paragraph" w:styleId="Zpat">
    <w:name w:val="footer"/>
    <w:basedOn w:val="Normln"/>
    <w:link w:val="ZpatChar"/>
    <w:uiPriority w:val="99"/>
    <w:rsid w:val="005923A6"/>
    <w:pPr>
      <w:tabs>
        <w:tab w:val="center" w:pos="4536"/>
        <w:tab w:val="right" w:pos="9072"/>
      </w:tabs>
    </w:pPr>
    <w:rPr>
      <w:rFonts w:eastAsia="Calibri"/>
      <w:sz w:val="20"/>
    </w:rPr>
  </w:style>
  <w:style w:type="character" w:customStyle="1" w:styleId="ZpatChar">
    <w:name w:val="Zápatí Char"/>
    <w:basedOn w:val="Standardnpsmoodstavce"/>
    <w:link w:val="Zpat"/>
    <w:uiPriority w:val="99"/>
    <w:locked/>
    <w:rsid w:val="005923A6"/>
    <w:rPr>
      <w:rFonts w:ascii="Arial" w:hAnsi="Arial"/>
      <w:sz w:val="20"/>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B1EED"/>
    <w:pPr>
      <w:suppressAutoHyphens/>
    </w:pPr>
    <w:rPr>
      <w:rFonts w:ascii="Arial" w:eastAsia="Times New Roman" w:hAnsi="Arial"/>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32610E"/>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sid w:val="0032610E"/>
    <w:rPr>
      <w:rFonts w:ascii="Tahoma" w:hAnsi="Tahoma"/>
      <w:sz w:val="16"/>
      <w:lang w:eastAsia="ar-SA" w:bidi="ar-SA"/>
    </w:rPr>
  </w:style>
  <w:style w:type="paragraph" w:customStyle="1" w:styleId="WW-Zkladntext2">
    <w:name w:val="WW-Základní text 2"/>
    <w:basedOn w:val="Normln"/>
    <w:uiPriority w:val="99"/>
    <w:rsid w:val="007B1EED"/>
    <w:pPr>
      <w:spacing w:line="360" w:lineRule="auto"/>
      <w:jc w:val="both"/>
    </w:pPr>
    <w:rPr>
      <w:b/>
    </w:rPr>
  </w:style>
  <w:style w:type="paragraph" w:styleId="Textpoznpodarou">
    <w:name w:val="footnote text"/>
    <w:basedOn w:val="Normln"/>
    <w:link w:val="TextpoznpodarouChar"/>
    <w:uiPriority w:val="99"/>
    <w:semiHidden/>
    <w:rsid w:val="002667B3"/>
    <w:rPr>
      <w:rFonts w:eastAsia="Calibri"/>
      <w:sz w:val="20"/>
    </w:rPr>
  </w:style>
  <w:style w:type="character" w:customStyle="1" w:styleId="TextpoznpodarouChar">
    <w:name w:val="Text pozn. pod čarou Char"/>
    <w:basedOn w:val="Standardnpsmoodstavce"/>
    <w:link w:val="Textpoznpodarou"/>
    <w:uiPriority w:val="99"/>
    <w:semiHidden/>
    <w:locked/>
    <w:rsid w:val="002667B3"/>
    <w:rPr>
      <w:rFonts w:ascii="Arial" w:hAnsi="Arial"/>
      <w:sz w:val="20"/>
      <w:lang w:eastAsia="ar-SA" w:bidi="ar-SA"/>
    </w:rPr>
  </w:style>
  <w:style w:type="character" w:styleId="Znakapoznpodarou">
    <w:name w:val="footnote reference"/>
    <w:basedOn w:val="Standardnpsmoodstavce"/>
    <w:uiPriority w:val="99"/>
    <w:semiHidden/>
    <w:rsid w:val="002667B3"/>
    <w:rPr>
      <w:rFonts w:cs="Times New Roman"/>
      <w:vertAlign w:val="superscript"/>
    </w:rPr>
  </w:style>
  <w:style w:type="paragraph" w:customStyle="1" w:styleId="Textlnku">
    <w:name w:val="Text článku"/>
    <w:basedOn w:val="Normln"/>
    <w:link w:val="TextlnkuChar"/>
    <w:uiPriority w:val="99"/>
    <w:rsid w:val="005E40B4"/>
    <w:pPr>
      <w:suppressAutoHyphens w:val="0"/>
      <w:spacing w:before="240"/>
      <w:ind w:firstLine="425"/>
      <w:jc w:val="both"/>
      <w:outlineLvl w:val="5"/>
    </w:pPr>
    <w:rPr>
      <w:rFonts w:ascii="Times New Roman" w:eastAsia="Calibri" w:hAnsi="Times New Roman"/>
      <w:sz w:val="20"/>
      <w:lang w:eastAsia="cs-CZ"/>
    </w:rPr>
  </w:style>
  <w:style w:type="character" w:customStyle="1" w:styleId="TextlnkuChar">
    <w:name w:val="Text článku Char"/>
    <w:link w:val="Textlnku"/>
    <w:uiPriority w:val="99"/>
    <w:locked/>
    <w:rsid w:val="005E40B4"/>
    <w:rPr>
      <w:rFonts w:ascii="Times New Roman" w:hAnsi="Times New Roman"/>
      <w:sz w:val="20"/>
      <w:lang w:eastAsia="cs-CZ"/>
    </w:rPr>
  </w:style>
  <w:style w:type="paragraph" w:styleId="Odstavecseseznamem">
    <w:name w:val="List Paragraph"/>
    <w:basedOn w:val="Normln"/>
    <w:uiPriority w:val="99"/>
    <w:qFormat/>
    <w:rsid w:val="003E5A54"/>
    <w:pPr>
      <w:ind w:left="720"/>
      <w:contextualSpacing/>
    </w:pPr>
  </w:style>
  <w:style w:type="character" w:styleId="Odkaznakoment">
    <w:name w:val="annotation reference"/>
    <w:basedOn w:val="Standardnpsmoodstavce"/>
    <w:uiPriority w:val="99"/>
    <w:semiHidden/>
    <w:rsid w:val="0032610E"/>
    <w:rPr>
      <w:rFonts w:cs="Times New Roman"/>
      <w:sz w:val="16"/>
    </w:rPr>
  </w:style>
  <w:style w:type="paragraph" w:styleId="Textkomente">
    <w:name w:val="annotation text"/>
    <w:basedOn w:val="Normln"/>
    <w:link w:val="TextkomenteChar"/>
    <w:uiPriority w:val="99"/>
    <w:semiHidden/>
    <w:rsid w:val="0032610E"/>
    <w:rPr>
      <w:rFonts w:eastAsia="Calibri"/>
      <w:sz w:val="20"/>
    </w:rPr>
  </w:style>
  <w:style w:type="character" w:customStyle="1" w:styleId="TextkomenteChar">
    <w:name w:val="Text komentáře Char"/>
    <w:basedOn w:val="Standardnpsmoodstavce"/>
    <w:link w:val="Textkomente"/>
    <w:uiPriority w:val="99"/>
    <w:semiHidden/>
    <w:locked/>
    <w:rsid w:val="0032610E"/>
    <w:rPr>
      <w:rFonts w:ascii="Arial" w:hAnsi="Arial"/>
      <w:sz w:val="20"/>
      <w:lang w:eastAsia="ar-SA" w:bidi="ar-SA"/>
    </w:rPr>
  </w:style>
  <w:style w:type="paragraph" w:styleId="Pedmtkomente">
    <w:name w:val="annotation subject"/>
    <w:basedOn w:val="Textkomente"/>
    <w:next w:val="Textkomente"/>
    <w:link w:val="PedmtkomenteChar"/>
    <w:uiPriority w:val="99"/>
    <w:semiHidden/>
    <w:rsid w:val="0032610E"/>
    <w:rPr>
      <w:b/>
      <w:bCs/>
    </w:rPr>
  </w:style>
  <w:style w:type="character" w:customStyle="1" w:styleId="PedmtkomenteChar">
    <w:name w:val="Předmět komentáře Char"/>
    <w:basedOn w:val="TextkomenteChar"/>
    <w:link w:val="Pedmtkomente"/>
    <w:uiPriority w:val="99"/>
    <w:semiHidden/>
    <w:locked/>
    <w:rsid w:val="0032610E"/>
    <w:rPr>
      <w:rFonts w:ascii="Arial" w:hAnsi="Arial"/>
      <w:b/>
      <w:sz w:val="20"/>
      <w:lang w:eastAsia="ar-SA" w:bidi="ar-SA"/>
    </w:rPr>
  </w:style>
  <w:style w:type="paragraph" w:styleId="Zhlav">
    <w:name w:val="header"/>
    <w:basedOn w:val="Normln"/>
    <w:link w:val="ZhlavChar"/>
    <w:uiPriority w:val="99"/>
    <w:rsid w:val="005923A6"/>
    <w:pPr>
      <w:tabs>
        <w:tab w:val="center" w:pos="4536"/>
        <w:tab w:val="right" w:pos="9072"/>
      </w:tabs>
    </w:pPr>
    <w:rPr>
      <w:rFonts w:eastAsia="Calibri"/>
      <w:sz w:val="20"/>
    </w:rPr>
  </w:style>
  <w:style w:type="character" w:customStyle="1" w:styleId="ZhlavChar">
    <w:name w:val="Záhlaví Char"/>
    <w:basedOn w:val="Standardnpsmoodstavce"/>
    <w:link w:val="Zhlav"/>
    <w:uiPriority w:val="99"/>
    <w:locked/>
    <w:rsid w:val="005923A6"/>
    <w:rPr>
      <w:rFonts w:ascii="Arial" w:hAnsi="Arial"/>
      <w:sz w:val="20"/>
      <w:lang w:eastAsia="ar-SA" w:bidi="ar-SA"/>
    </w:rPr>
  </w:style>
  <w:style w:type="paragraph" w:styleId="Zpat">
    <w:name w:val="footer"/>
    <w:basedOn w:val="Normln"/>
    <w:link w:val="ZpatChar"/>
    <w:uiPriority w:val="99"/>
    <w:rsid w:val="005923A6"/>
    <w:pPr>
      <w:tabs>
        <w:tab w:val="center" w:pos="4536"/>
        <w:tab w:val="right" w:pos="9072"/>
      </w:tabs>
    </w:pPr>
    <w:rPr>
      <w:rFonts w:eastAsia="Calibri"/>
      <w:sz w:val="20"/>
    </w:rPr>
  </w:style>
  <w:style w:type="character" w:customStyle="1" w:styleId="ZpatChar">
    <w:name w:val="Zápatí Char"/>
    <w:basedOn w:val="Standardnpsmoodstavce"/>
    <w:link w:val="Zpat"/>
    <w:uiPriority w:val="99"/>
    <w:locked/>
    <w:rsid w:val="005923A6"/>
    <w:rPr>
      <w:rFonts w:ascii="Arial" w:hAnsi="Arial"/>
      <w:sz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68743">
      <w:marLeft w:val="0"/>
      <w:marRight w:val="0"/>
      <w:marTop w:val="0"/>
      <w:marBottom w:val="0"/>
      <w:divBdr>
        <w:top w:val="none" w:sz="0" w:space="0" w:color="auto"/>
        <w:left w:val="none" w:sz="0" w:space="0" w:color="auto"/>
        <w:bottom w:val="none" w:sz="0" w:space="0" w:color="auto"/>
        <w:right w:val="none" w:sz="0" w:space="0" w:color="auto"/>
      </w:divBdr>
    </w:div>
    <w:div w:id="140726874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8917</Characters>
  <Application>Microsoft Office Word</Application>
  <DocSecurity>4</DocSecurity>
  <Lines>74</Lines>
  <Paragraphs>20</Paragraphs>
  <ScaleCrop>false</ScaleCrop>
  <HeadingPairs>
    <vt:vector size="2" baseType="variant">
      <vt:variant>
        <vt:lpstr>Název</vt:lpstr>
      </vt:variant>
      <vt:variant>
        <vt:i4>1</vt:i4>
      </vt:variant>
    </vt:vector>
  </HeadingPairs>
  <TitlesOfParts>
    <vt:vector size="1" baseType="lpstr">
      <vt:lpstr>II</vt:lpstr>
    </vt:vector>
  </TitlesOfParts>
  <Company>Ministerstvo financí</Company>
  <LinksUpToDate>false</LinksUpToDate>
  <CharactersWithSpaces>10408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creator>Radka Bezděkovská</dc:creator>
  <cp:lastModifiedBy>KACR - Pavla Psenickova</cp:lastModifiedBy>
  <cp:revision>2</cp:revision>
  <cp:lastPrinted>2015-12-08T13:06:00Z</cp:lastPrinted>
  <dcterms:created xsi:type="dcterms:W3CDTF">2015-12-14T07:17:00Z</dcterms:created>
  <dcterms:modified xsi:type="dcterms:W3CDTF">2015-12-14T07:17:00Z</dcterms:modified>
</cp:coreProperties>
</file>