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BF" w:rsidRPr="0038670B" w:rsidRDefault="00B072BF" w:rsidP="00B072B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38670B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="008E3155" w:rsidRPr="007A209E" w:rsidRDefault="009B2B6B" w:rsidP="0038670B">
      <w:pPr>
        <w:autoSpaceDE w:val="0"/>
        <w:autoSpaceDN w:val="0"/>
        <w:adjustRightInd w:val="0"/>
        <w:spacing w:after="60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szCs w:val="22"/>
        </w:rPr>
        <w:t>ODŮVODNĚNÍ</w:t>
      </w:r>
    </w:p>
    <w:p w:rsidR="008E3155" w:rsidRPr="0038670B" w:rsidRDefault="008E3155" w:rsidP="003867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670B">
        <w:rPr>
          <w:rFonts w:ascii="Arial" w:hAnsi="Arial" w:cs="Arial"/>
          <w:b/>
          <w:bCs/>
          <w:color w:val="000000"/>
          <w:sz w:val="22"/>
          <w:szCs w:val="22"/>
        </w:rPr>
        <w:t>Obecná část</w:t>
      </w:r>
    </w:p>
    <w:p w:rsidR="008E3155" w:rsidRPr="0038670B" w:rsidRDefault="008E3155" w:rsidP="008E3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Název</w:t>
      </w:r>
    </w:p>
    <w:p w:rsidR="008E3155" w:rsidRPr="0038670B" w:rsidRDefault="008E3155" w:rsidP="008E3155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color w:val="000000"/>
          <w:sz w:val="22"/>
          <w:szCs w:val="22"/>
        </w:rPr>
        <w:t>Návrh vyhlášky, kterou se mění vyhláška č. 383/2009 Sb., o účetních záznamech v technické formě vybraných účetních jednotek a jejich předávání do centrálního systému účetních informací státu a o požadavcích na technické a smíšené formy účetních záznamů (technická vyhláška o účetních záznamech), ve znění pozdějších předpisů</w:t>
      </w:r>
      <w:r w:rsidR="00A404A5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,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(dále jen „návrh vyhlášky“).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Vysvětlení nezbytnosti navrhované právní úpravy, odůvodnění jejích hlavních principů</w:t>
      </w:r>
    </w:p>
    <w:p w:rsidR="008E3155" w:rsidRPr="0038670B" w:rsidRDefault="008E3155" w:rsidP="008E3155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sz w:val="22"/>
          <w:szCs w:val="22"/>
          <w:u w:val="single"/>
          <w:lang w:val="cs-CZ"/>
        </w:rPr>
      </w:pPr>
      <w:r w:rsidRPr="0038670B">
        <w:rPr>
          <w:rFonts w:ascii="Arial" w:hAnsi="Arial" w:cs="Arial"/>
          <w:b w:val="0"/>
          <w:sz w:val="22"/>
          <w:szCs w:val="22"/>
          <w:u w:val="single"/>
        </w:rPr>
        <w:t>Důvodem předložení návrhu vyhlášky je</w:t>
      </w:r>
      <w:r w:rsidR="006E0B09" w:rsidRPr="0038670B">
        <w:rPr>
          <w:rFonts w:ascii="Arial" w:hAnsi="Arial" w:cs="Arial"/>
          <w:b w:val="0"/>
          <w:sz w:val="22"/>
          <w:szCs w:val="22"/>
          <w:u w:val="single"/>
          <w:lang w:val="cs-CZ"/>
        </w:rPr>
        <w:t xml:space="preserve"> zejména</w:t>
      </w:r>
      <w:r w:rsidRPr="0038670B">
        <w:rPr>
          <w:rFonts w:ascii="Arial" w:hAnsi="Arial" w:cs="Arial"/>
          <w:b w:val="0"/>
          <w:sz w:val="22"/>
          <w:szCs w:val="22"/>
          <w:u w:val="single"/>
        </w:rPr>
        <w:t>:</w:t>
      </w:r>
    </w:p>
    <w:p w:rsidR="008E3155" w:rsidRPr="0038670B" w:rsidRDefault="008E3155" w:rsidP="008E315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úprava vedoucí k odstranění neaktivních registrovaných uživatelů (zodpovědných a náhradních zodpovědných osob),</w:t>
      </w:r>
    </w:p>
    <w:p w:rsidR="008E3155" w:rsidRPr="0038670B" w:rsidRDefault="008E3155" w:rsidP="008E315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snížení administrativní zátěže v souvislosti se zrušením povinnosti sledovat a vykazovat partnery transakce označené symboly „P22“ a „P21“ (u některých syntetických účtů a položek) a průměrnou marži,</w:t>
      </w:r>
    </w:p>
    <w:p w:rsidR="008E3155" w:rsidRPr="0038670B" w:rsidRDefault="008E3155" w:rsidP="008E315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upřesnění uspořádání a označování položek Pomocného analytického přehledu a také upřesnění jejich obsahového vymezení v souvislosti s návrhem vyhlášky, kterou se mění vyhláška č. 410/2009 Sb., kterou se provádějí některá ustanovení zákona č. 563/1991 Sb., o účetnictví, ve znění pozdějších předpisů, pro některé vybrané účetní jednotky, ve znění pozdějších předpisů,</w:t>
      </w:r>
    </w:p>
    <w:p w:rsidR="00125FFA" w:rsidRPr="0038670B" w:rsidRDefault="00125FFA" w:rsidP="00125FFA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t>soulad s návrhem vyhlášky, kterou se m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ění vyhláška č. 312/2014 Sb., o </w:t>
      </w:r>
      <w:r w:rsidRPr="0038670B">
        <w:rPr>
          <w:rFonts w:ascii="Arial" w:hAnsi="Arial" w:cs="Arial"/>
          <w:color w:val="000000"/>
          <w:sz w:val="22"/>
          <w:szCs w:val="22"/>
        </w:rPr>
        <w:t>podmínkách sestavení účetních výkazů za Českou republiku (konsolidační vyhláška státu) a zajištění informací potřebných p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ro sestavení účetních výkazů za </w:t>
      </w:r>
      <w:r w:rsidRPr="0038670B">
        <w:rPr>
          <w:rFonts w:ascii="Arial" w:hAnsi="Arial" w:cs="Arial"/>
          <w:color w:val="000000"/>
          <w:sz w:val="22"/>
          <w:szCs w:val="22"/>
        </w:rPr>
        <w:t>Českou republiku a za dílčí konsolidační celky státu,</w:t>
      </w:r>
    </w:p>
    <w:p w:rsidR="008E3155" w:rsidRPr="0038670B" w:rsidRDefault="008E3155" w:rsidP="008E315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zpřesnění informací pro účely monitorování a řízení veřejných financí (včetně mezinárodního výkaznictví v oblasti vládní finanční statistiky, metodika ESA 95, ESA 2010 a GFS 2001),</w:t>
      </w:r>
    </w:p>
    <w:p w:rsidR="008E3155" w:rsidRPr="0038670B" w:rsidRDefault="00A85B8B" w:rsidP="008E315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provedení změn</w:t>
      </w:r>
      <w:r w:rsidR="008E3155" w:rsidRPr="0038670B">
        <w:rPr>
          <w:rFonts w:ascii="Arial" w:hAnsi="Arial" w:cs="Arial"/>
          <w:sz w:val="22"/>
          <w:szCs w:val="22"/>
        </w:rPr>
        <w:t xml:space="preserve"> legislativně technického charakteru,</w:t>
      </w:r>
    </w:p>
    <w:p w:rsidR="006E0B09" w:rsidRPr="0038670B" w:rsidRDefault="008E3155" w:rsidP="006E0B09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 xml:space="preserve">zvýšení právní jistoty </w:t>
      </w:r>
      <w:r w:rsidR="004A1FF2" w:rsidRPr="0038670B">
        <w:rPr>
          <w:rFonts w:ascii="Arial" w:hAnsi="Arial" w:cs="Arial"/>
          <w:sz w:val="22"/>
          <w:szCs w:val="22"/>
        </w:rPr>
        <w:t>dotčených účetních jednotek</w:t>
      </w:r>
      <w:r w:rsidRPr="0038670B">
        <w:rPr>
          <w:rFonts w:ascii="Arial" w:hAnsi="Arial" w:cs="Arial"/>
          <w:sz w:val="22"/>
          <w:szCs w:val="22"/>
        </w:rPr>
        <w:t>.</w:t>
      </w:r>
    </w:p>
    <w:p w:rsidR="006E0B09" w:rsidRPr="0038670B" w:rsidRDefault="006E0B09" w:rsidP="006E0B09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Cílem předložení návrhu vyhlášky je:</w:t>
      </w:r>
    </w:p>
    <w:p w:rsidR="00702584" w:rsidRPr="0038670B" w:rsidRDefault="00F536B0" w:rsidP="006E0B0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snížení pracnosti a administrativní </w:t>
      </w:r>
      <w:r w:rsidR="00A85B8B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zátěže dotčených účetních jednotek,</w:t>
      </w:r>
    </w:p>
    <w:p w:rsidR="00125FFA" w:rsidRPr="0038670B" w:rsidRDefault="00125FFA" w:rsidP="006E0B0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zajištění souladu s návrhem vyhlášky, kterou se mění vyhláška č. 410/2009 Sb., kterou se provádějí některá ustanovení zákona č.</w:t>
      </w:r>
      <w:r w:rsidR="00017802" w:rsidRPr="0038670B">
        <w:rPr>
          <w:rFonts w:ascii="Arial" w:hAnsi="Arial" w:cs="Arial"/>
          <w:sz w:val="22"/>
          <w:szCs w:val="22"/>
        </w:rPr>
        <w:t xml:space="preserve"> 563/1991 Sb., o účetnictví, ve </w:t>
      </w:r>
      <w:r w:rsidRPr="0038670B">
        <w:rPr>
          <w:rFonts w:ascii="Arial" w:hAnsi="Arial" w:cs="Arial"/>
          <w:sz w:val="22"/>
          <w:szCs w:val="22"/>
        </w:rPr>
        <w:t>znění pozdějších předpisů, pro některé vybrané účetní jednotky, ve znění pozdějších předpisů,</w:t>
      </w:r>
    </w:p>
    <w:p w:rsidR="00125FFA" w:rsidRPr="0038670B" w:rsidRDefault="00125FFA" w:rsidP="006E0B0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t>zajištění souladu s návrhem vyhlášky, kterou se m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ění vyhláška č. 312/2014 Sb., o </w:t>
      </w:r>
      <w:r w:rsidRPr="0038670B">
        <w:rPr>
          <w:rFonts w:ascii="Arial" w:hAnsi="Arial" w:cs="Arial"/>
          <w:color w:val="000000"/>
          <w:sz w:val="22"/>
          <w:szCs w:val="22"/>
        </w:rPr>
        <w:t>podmínkách sestavení účetních výkazů za Českou republiku (konsolidační vyhláška státu) a zajištění informací potřebných p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ro sestavení účetních výkazů za </w:t>
      </w:r>
      <w:r w:rsidRPr="0038670B">
        <w:rPr>
          <w:rFonts w:ascii="Arial" w:hAnsi="Arial" w:cs="Arial"/>
          <w:color w:val="000000"/>
          <w:sz w:val="22"/>
          <w:szCs w:val="22"/>
        </w:rPr>
        <w:t>Českou republiku a za dílčí konsolidační celky státu</w:t>
      </w:r>
    </w:p>
    <w:p w:rsidR="006E0B09" w:rsidRPr="0038670B" w:rsidRDefault="006E0B09" w:rsidP="006E0B0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>zpřesnění informací pro účely monitorování a řízení veřejných financí,</w:t>
      </w:r>
    </w:p>
    <w:p w:rsidR="006E0B09" w:rsidRPr="0038670B" w:rsidRDefault="006E0B09" w:rsidP="006E0B0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t xml:space="preserve">zvýšení právní jistoty </w:t>
      </w:r>
      <w:r w:rsidR="004A1FF2" w:rsidRPr="0038670B">
        <w:rPr>
          <w:rFonts w:ascii="Arial" w:hAnsi="Arial" w:cs="Arial"/>
          <w:sz w:val="22"/>
          <w:szCs w:val="22"/>
        </w:rPr>
        <w:t>dotčených účetních jednotek</w:t>
      </w:r>
      <w:r w:rsidRPr="0038670B">
        <w:rPr>
          <w:rFonts w:ascii="Arial" w:hAnsi="Arial" w:cs="Arial"/>
          <w:sz w:val="22"/>
          <w:szCs w:val="22"/>
        </w:rPr>
        <w:t>.</w:t>
      </w:r>
    </w:p>
    <w:p w:rsidR="006923C7" w:rsidRPr="0038670B" w:rsidRDefault="006923C7" w:rsidP="002A65BD">
      <w:pPr>
        <w:keepNext/>
        <w:spacing w:before="120" w:after="120"/>
        <w:ind w:firstLine="357"/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>Pokud by návrh vyhlášky nereagoval na výše uvedené cíle a potřeby účetních jednotek, tak by:</w:t>
      </w:r>
    </w:p>
    <w:p w:rsidR="00143F73" w:rsidRPr="0038670B" w:rsidRDefault="00143F73" w:rsidP="00143F73">
      <w:pPr>
        <w:numPr>
          <w:ilvl w:val="0"/>
          <w:numId w:val="17"/>
        </w:numPr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t>nedošlo ke snížení pracnosti a administrativní zátěže dotčených účetních jednotek,</w:t>
      </w:r>
    </w:p>
    <w:p w:rsidR="00143F73" w:rsidRPr="0038670B" w:rsidRDefault="00143F73" w:rsidP="00143F73">
      <w:pPr>
        <w:numPr>
          <w:ilvl w:val="0"/>
          <w:numId w:val="17"/>
        </w:numPr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lastRenderedPageBreak/>
        <w:t>nedošlo k zajištění souladu s návrhem vyhlá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šky, kterou se mění vyhláška č. </w:t>
      </w:r>
      <w:r w:rsidRPr="0038670B">
        <w:rPr>
          <w:rFonts w:ascii="Arial" w:hAnsi="Arial" w:cs="Arial"/>
          <w:color w:val="000000"/>
          <w:sz w:val="22"/>
          <w:szCs w:val="22"/>
        </w:rPr>
        <w:t>410/2009 Sb., kterou se provádějí některá ustan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ovení zákona č. 563/1991 Sb., o </w:t>
      </w:r>
      <w:r w:rsidRPr="0038670B">
        <w:rPr>
          <w:rFonts w:ascii="Arial" w:hAnsi="Arial" w:cs="Arial"/>
          <w:color w:val="000000"/>
          <w:sz w:val="22"/>
          <w:szCs w:val="22"/>
        </w:rPr>
        <w:t>účetnictví, ve znění pozdějších předpisů, pro někt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eré vybrané účetní jednotky, ve </w:t>
      </w:r>
      <w:r w:rsidRPr="0038670B">
        <w:rPr>
          <w:rFonts w:ascii="Arial" w:hAnsi="Arial" w:cs="Arial"/>
          <w:color w:val="000000"/>
          <w:sz w:val="22"/>
          <w:szCs w:val="22"/>
        </w:rPr>
        <w:t>znění pozdějších předpisů,</w:t>
      </w:r>
    </w:p>
    <w:p w:rsidR="00143F73" w:rsidRPr="0038670B" w:rsidRDefault="00143F73" w:rsidP="00143F73">
      <w:pPr>
        <w:numPr>
          <w:ilvl w:val="0"/>
          <w:numId w:val="17"/>
        </w:numPr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t>nedošlo k zajištění souladu s návrhem vyhlá</w:t>
      </w:r>
      <w:r w:rsidR="00017802" w:rsidRPr="0038670B">
        <w:rPr>
          <w:rFonts w:ascii="Arial" w:hAnsi="Arial" w:cs="Arial"/>
          <w:color w:val="000000"/>
          <w:sz w:val="22"/>
          <w:szCs w:val="22"/>
        </w:rPr>
        <w:t>šky, kterou se mění vyhláška č. </w:t>
      </w:r>
      <w:r w:rsidRPr="0038670B">
        <w:rPr>
          <w:rFonts w:ascii="Arial" w:hAnsi="Arial" w:cs="Arial"/>
          <w:color w:val="000000"/>
          <w:sz w:val="22"/>
          <w:szCs w:val="22"/>
        </w:rPr>
        <w:t xml:space="preserve">312/2014 Sb., o podmínkách sestavení účetních výkazů za Českou republiku (konsolidační vyhláška státu), </w:t>
      </w:r>
    </w:p>
    <w:p w:rsidR="00143F73" w:rsidRPr="0038670B" w:rsidRDefault="00143F73" w:rsidP="00143F73">
      <w:pPr>
        <w:numPr>
          <w:ilvl w:val="0"/>
          <w:numId w:val="17"/>
        </w:numPr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t>nedošlo k zajištění informací potřebných p</w:t>
      </w:r>
      <w:r w:rsidR="0038670B">
        <w:rPr>
          <w:rFonts w:ascii="Arial" w:hAnsi="Arial" w:cs="Arial"/>
          <w:color w:val="000000"/>
          <w:sz w:val="22"/>
          <w:szCs w:val="22"/>
        </w:rPr>
        <w:t>ro sestavení účetních výkazů za </w:t>
      </w:r>
      <w:r w:rsidRPr="0038670B">
        <w:rPr>
          <w:rFonts w:ascii="Arial" w:hAnsi="Arial" w:cs="Arial"/>
          <w:color w:val="000000"/>
          <w:sz w:val="22"/>
          <w:szCs w:val="22"/>
        </w:rPr>
        <w:t>Českou republiku a za dílčí konsolidační celky státu,</w:t>
      </w:r>
    </w:p>
    <w:p w:rsidR="00143F73" w:rsidRPr="0038670B" w:rsidRDefault="00143F73" w:rsidP="00143F73">
      <w:pPr>
        <w:numPr>
          <w:ilvl w:val="0"/>
          <w:numId w:val="17"/>
        </w:numPr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t>nedošlo ke zpřesnění informací pro účely monitorování a řízení veřejných financí,</w:t>
      </w:r>
    </w:p>
    <w:p w:rsidR="006923C7" w:rsidRPr="0038670B" w:rsidRDefault="00143F73" w:rsidP="00143F73">
      <w:pPr>
        <w:numPr>
          <w:ilvl w:val="0"/>
          <w:numId w:val="17"/>
        </w:numPr>
        <w:ind w:left="1077" w:hanging="357"/>
        <w:rPr>
          <w:rFonts w:ascii="Arial" w:hAnsi="Arial" w:cs="Arial"/>
          <w:color w:val="000000"/>
          <w:sz w:val="22"/>
          <w:szCs w:val="22"/>
        </w:rPr>
      </w:pPr>
      <w:r w:rsidRPr="0038670B">
        <w:rPr>
          <w:rFonts w:ascii="Arial" w:hAnsi="Arial" w:cs="Arial"/>
          <w:color w:val="000000"/>
          <w:sz w:val="22"/>
          <w:szCs w:val="22"/>
        </w:rPr>
        <w:t xml:space="preserve">nedošlo ke zvýšení právní jistoty </w:t>
      </w:r>
      <w:r w:rsidR="004A1FF2" w:rsidRPr="0038670B">
        <w:rPr>
          <w:rFonts w:ascii="Arial" w:hAnsi="Arial" w:cs="Arial"/>
          <w:color w:val="000000"/>
          <w:sz w:val="22"/>
          <w:szCs w:val="22"/>
        </w:rPr>
        <w:t>dotčených účetních jednotek</w:t>
      </w:r>
      <w:r w:rsidRPr="0038670B">
        <w:rPr>
          <w:rFonts w:ascii="Arial" w:hAnsi="Arial" w:cs="Arial"/>
          <w:color w:val="000000"/>
          <w:sz w:val="22"/>
          <w:szCs w:val="22"/>
        </w:rPr>
        <w:t>.</w:t>
      </w:r>
    </w:p>
    <w:p w:rsidR="00F536B0" w:rsidRPr="0038670B" w:rsidRDefault="00F536B0" w:rsidP="00F536B0">
      <w:pPr>
        <w:spacing w:before="120" w:after="12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/>
          <w:sz w:val="22"/>
          <w:szCs w:val="22"/>
          <w:u w:val="single"/>
        </w:rPr>
        <w:t>Dotčené subjekty</w:t>
      </w:r>
    </w:p>
    <w:p w:rsidR="00F536B0" w:rsidRPr="0038670B" w:rsidRDefault="00F536B0" w:rsidP="00F536B0">
      <w:pPr>
        <w:rPr>
          <w:rFonts w:ascii="Arial" w:hAnsi="Arial" w:cs="Arial"/>
          <w:color w:val="FF0000"/>
          <w:sz w:val="22"/>
          <w:szCs w:val="22"/>
        </w:rPr>
      </w:pPr>
      <w:r w:rsidRPr="0038670B">
        <w:rPr>
          <w:rFonts w:ascii="Arial" w:hAnsi="Arial" w:cs="Arial"/>
          <w:bCs/>
          <w:color w:val="000000"/>
          <w:sz w:val="22"/>
          <w:szCs w:val="22"/>
        </w:rPr>
        <w:t xml:space="preserve">Dotčenými subjekty budou vybrané účetní jednotky podle </w:t>
      </w:r>
      <w:r w:rsidR="00320EFD" w:rsidRPr="0038670B">
        <w:rPr>
          <w:rFonts w:ascii="Arial" w:hAnsi="Arial" w:cs="Arial"/>
          <w:bCs/>
          <w:color w:val="000000"/>
          <w:sz w:val="22"/>
          <w:szCs w:val="22"/>
        </w:rPr>
        <w:t xml:space="preserve">zákona č. 563/1991 Sb., o účetnictví, ve znění pozdějších předpisů, </w:t>
      </w:r>
      <w:r w:rsidR="00A85B8B" w:rsidRPr="0038670B">
        <w:rPr>
          <w:rFonts w:ascii="Arial" w:hAnsi="Arial" w:cs="Arial"/>
          <w:bCs/>
          <w:color w:val="000000"/>
          <w:sz w:val="22"/>
          <w:szCs w:val="22"/>
        </w:rPr>
        <w:t>a další konsolidované jednotky státu</w:t>
      </w:r>
      <w:r w:rsidRPr="0038670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3155" w:rsidRPr="0038670B" w:rsidRDefault="008E3155" w:rsidP="00F536B0">
      <w:pPr>
        <w:spacing w:before="120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souladu navrhované právní úpravy se zákonem, k jehož provedení je navržena a zároveň zhodnocení souladu navrhované právní úpravy s předpisy Evropské unie, judikaturou soudních orgánů Evropské unie a obecnými právními zásadami práva Evropské unie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Navrhovaná právní úprava byla vypracována na základě zmocnění obsaženého v § 37b odst. 1 zákona č. 563/1991 Sb., o účetnictví, ve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znění zákona č. 437/2003 Sb.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, 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zákona č. 304/2008 Sb. 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a zákona č. 221/2015 Sb., 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k provedení § 4 odst. 8. Návrh této vyhlášky je s tímto zmocněním plně v souladu.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Předložený návrh vyhlášky je v souladu s ústavním pořádkem České republiky, s Listinou základních práv a svobod a s Ústavou České republiky. Návrh vyhlášky respektuje obecné zásady ústavního pořádku České republiky a je též v souladu </w:t>
      </w:r>
      <w:r w:rsidRPr="0038670B">
        <w:rPr>
          <w:rFonts w:ascii="Arial" w:hAnsi="Arial" w:cs="Arial"/>
          <w:b w:val="0"/>
          <w:color w:val="000000" w:themeColor="text1"/>
          <w:sz w:val="22"/>
          <w:szCs w:val="22"/>
        </w:rPr>
        <w:t>s právními předpisy upravujícími oblast působnosti ústředních orgánů státní správy České republiky.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color w:val="000000" w:themeColor="text1"/>
          <w:sz w:val="22"/>
          <w:szCs w:val="22"/>
        </w:rPr>
        <w:t>Předložený návrh vyhlášky není v rozporu s mezinárodními smlouvami, jimiž je Česká republika vázána, ani s právem Evropské unie a ani s j</w:t>
      </w:r>
      <w:r w:rsidR="00A35972" w:rsidRPr="0038670B">
        <w:rPr>
          <w:rFonts w:ascii="Arial" w:hAnsi="Arial" w:cs="Arial"/>
          <w:b w:val="0"/>
          <w:color w:val="000000" w:themeColor="text1"/>
          <w:sz w:val="22"/>
          <w:szCs w:val="22"/>
        </w:rPr>
        <w:t>udikaturou Evropského soudu pro</w:t>
      </w:r>
      <w:r w:rsidR="00A35972" w:rsidRPr="0038670B">
        <w:rPr>
          <w:rFonts w:ascii="Arial" w:hAnsi="Arial" w:cs="Arial"/>
          <w:b w:val="0"/>
          <w:color w:val="000000" w:themeColor="text1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color w:val="000000" w:themeColor="text1"/>
          <w:sz w:val="22"/>
          <w:szCs w:val="22"/>
        </w:rPr>
        <w:t>lidská práva.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Předpokládaný hospodářský a finanční dopad navrhované právní úpravy na státní rozpočet, ostatní veřejné rozpočty a na podnikatelské prostředí v České republice, dále sociální dopady včetně dopadů na specifické skupiny obyvatel, zejména osoby sociálně slabé, osoby se zdravotním postižením a n</w:t>
      </w:r>
      <w:r w:rsid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árodnostní menšiny, a dopady na </w:t>
      </w: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životní prostředí</w:t>
      </w:r>
    </w:p>
    <w:p w:rsidR="0077285D" w:rsidRPr="0038670B" w:rsidRDefault="0077285D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Návrh vyhlášky předpokládá nevýznamné dopady navrhované právní úpravy na státní rozpočet České republiky a na ostatní veřejné rozpočty. Ne</w:t>
      </w:r>
      <w:r w:rsidR="00A35972" w:rsidRPr="0038670B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významné náklady jsou spojené s </w:t>
      </w:r>
      <w:r w:rsidRPr="0038670B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t>úpravou ekonomických informačních systémů dotčených vybraných účetních jednotek, a to v souvislosti se změnami některých závazných vzorů účetních záznamů, kdy tyto náklady nebudou ze strany Ministerstva financí refundovány.</w:t>
      </w:r>
    </w:p>
    <w:p w:rsidR="00A404A5" w:rsidRPr="0038670B" w:rsidRDefault="00A404A5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 nepředpokládá hospodářský ani finanční dopad navrhované právní úpravy na podnikatelské prostředí. </w:t>
      </w:r>
    </w:p>
    <w:p w:rsidR="008E3155" w:rsidRPr="0038670B" w:rsidRDefault="00A404A5" w:rsidP="00A404A5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nepředpokládá sociální dopady ani dopady na osoby se zdravotním postižením a národnostní menšiny a ani dopady na životní prostředí.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současného stavu a dopadů navrhovaného řešení ve vztahu k zákazu diskriminace</w:t>
      </w:r>
    </w:p>
    <w:p w:rsidR="008E3155" w:rsidRPr="0038670B" w:rsidRDefault="008E3155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lastRenderedPageBreak/>
        <w:t>Návrh vyhlášky nepředpokládá dopad na zákaz diskriminace ve smyslu zákona č. 198/2009 Sb., o rovném zacházení a o právních prostředcích ochrany před diskriminací a o změně některých zákonů (antidiskriminační zákon)</w:t>
      </w:r>
      <w:r w:rsidR="00320EFD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, ve znění pozdějších předpisů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navrhovaného řešení ve vztahu k ochraně soukromí a osobních údajů</w:t>
      </w:r>
    </w:p>
    <w:p w:rsidR="008E3155" w:rsidRPr="0038670B" w:rsidRDefault="008E3155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dopady ve vztahu k ochraně soukromí a osobních údajů, ani žádné zásahy do soukromé sféry.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korupčních rizik</w:t>
      </w:r>
    </w:p>
    <w:p w:rsidR="008E3155" w:rsidRPr="0038670B" w:rsidRDefault="008E3155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žádná korupční rizika.</w:t>
      </w:r>
    </w:p>
    <w:p w:rsidR="008E3155" w:rsidRPr="0038670B" w:rsidRDefault="008E3155" w:rsidP="008E3155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8670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Vyjádření k RIA</w:t>
      </w:r>
    </w:p>
    <w:p w:rsidR="008E3155" w:rsidRPr="0038670B" w:rsidRDefault="0005360C" w:rsidP="006923C7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V souvislosti se zaslanými podklady pro vypracování Plánu vyhlášek na zbývající část roku 2015 zaslané žádostí pod č.j. 16405/2014-OKL bylo rozhodnuto, že v případě návrhu vyhlášky nemusí být zpracováno hodnocení dopadů regulace (RIA), viz příloha k dopisu ministra pro lidská práva, rovné příležitosti a legislativu Mgr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. Jiřího Dienstbiera ze 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dne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22.</w:t>
      </w:r>
      <w:r w:rsidR="00017802"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prosince 2014 pod č.j. 18515/2014 – OKL.</w:t>
      </w:r>
    </w:p>
    <w:p w:rsidR="008E3155" w:rsidRPr="0038670B" w:rsidRDefault="008E3155" w:rsidP="008E3155">
      <w:pPr>
        <w:pStyle w:val="Nadpis1"/>
        <w:spacing w:after="120"/>
        <w:ind w:firstLine="357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br w:type="page"/>
      </w:r>
      <w:r w:rsidRPr="0038670B">
        <w:rPr>
          <w:rFonts w:ascii="Arial" w:hAnsi="Arial" w:cs="Arial"/>
          <w:bCs w:val="0"/>
          <w:color w:val="000000"/>
          <w:sz w:val="22"/>
          <w:szCs w:val="22"/>
        </w:rPr>
        <w:lastRenderedPageBreak/>
        <w:t>Zvláštní část</w:t>
      </w:r>
    </w:p>
    <w:p w:rsidR="008E3155" w:rsidRPr="0038670B" w:rsidRDefault="008E3155" w:rsidP="008E31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155" w:rsidRPr="0038670B" w:rsidRDefault="008E3155" w:rsidP="008E3155">
      <w:pPr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K bodům </w:t>
      </w:r>
      <w:r w:rsidR="00E07CAC" w:rsidRPr="0038670B">
        <w:rPr>
          <w:rFonts w:ascii="Arial" w:hAnsi="Arial" w:cs="Arial"/>
          <w:color w:val="000000"/>
          <w:sz w:val="22"/>
          <w:szCs w:val="22"/>
          <w:lang w:val="cs-CZ"/>
        </w:rPr>
        <w:t>1,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2 (§ 3 odst. 1</w:t>
      </w:r>
      <w:r w:rsidR="00E07CAC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písm. b), § 3 odst. 1 písm. c)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>):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rPr>
          <w:rFonts w:ascii="Arial" w:hAnsi="Arial" w:cs="Arial"/>
          <w:b w:val="0"/>
          <w:color w:val="000000"/>
          <w:sz w:val="22"/>
          <w:szCs w:val="22"/>
        </w:rPr>
      </w:pP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Je navrhováno přesunutí závazného </w:t>
      </w:r>
      <w:r w:rsidRPr="0038670B">
        <w:rPr>
          <w:rFonts w:ascii="Arial" w:hAnsi="Arial" w:cs="Arial"/>
          <w:b w:val="0"/>
          <w:sz w:val="22"/>
          <w:szCs w:val="22"/>
          <w:lang w:val="cs-CZ"/>
        </w:rPr>
        <w:t xml:space="preserve">vzoru </w:t>
      </w:r>
      <w:r w:rsidR="00502D76" w:rsidRPr="0038670B">
        <w:rPr>
          <w:rFonts w:ascii="Arial" w:hAnsi="Arial" w:cs="Arial"/>
          <w:b w:val="0"/>
          <w:sz w:val="22"/>
          <w:szCs w:val="22"/>
          <w:lang w:val="cs-CZ"/>
        </w:rPr>
        <w:t>S</w:t>
      </w:r>
      <w:r w:rsidRPr="0038670B">
        <w:rPr>
          <w:rFonts w:ascii="Arial" w:hAnsi="Arial" w:cs="Arial"/>
          <w:b w:val="0"/>
          <w:sz w:val="22"/>
          <w:szCs w:val="22"/>
          <w:lang w:val="cs-CZ"/>
        </w:rPr>
        <w:t xml:space="preserve">eznam </w:t>
      </w:r>
      <w:r w:rsidRPr="0038670B">
        <w:rPr>
          <w:rFonts w:ascii="Arial" w:hAnsi="Arial" w:cs="Arial"/>
          <w:b w:val="0"/>
          <w:sz w:val="22"/>
          <w:szCs w:val="22"/>
        </w:rPr>
        <w:t>účetních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jednotek patřících do dílčího konsolidačního celku státu 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(dále jen „</w:t>
      </w:r>
      <w:r w:rsidR="00502D76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S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eznam“) 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>z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>konsolidační vyhlášk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y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státu do technické vyhlášky o účetních záznamech. Důvodem tohoto kroku je samotná podstata </w:t>
      </w:r>
      <w:r w:rsidR="00017802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Seznamu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>, který svoji logikou naplňuje charakteristiky konsolidačního účetního záznamu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,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resp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ektive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 účetního záznamu, který je nutný pro sestavení účetních výkazů za Českou republiku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a dílčí konsolidační celky státu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>. V rámci tohoto přesunutí dochází ke vložení nového písmene c) v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>§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 xml:space="preserve">3 odst. 1 vyhlášky pro posílení právní jistoty dotčených </w:t>
      </w:r>
      <w:r w:rsidR="00502D76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účetních jednotek</w:t>
      </w:r>
      <w:r w:rsidRPr="0038670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FC23A4" w:rsidRPr="0038670B" w:rsidRDefault="00FC23A4" w:rsidP="008E3155">
      <w:pPr>
        <w:pStyle w:val="Nadpis1"/>
        <w:keepNext w:val="0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K bodu </w:t>
      </w:r>
      <w:r w:rsidR="008802E5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3, 4, 5, 6, 7, </w:t>
      </w:r>
      <w:r w:rsidR="00913AEE" w:rsidRPr="0038670B">
        <w:rPr>
          <w:rFonts w:ascii="Arial" w:hAnsi="Arial" w:cs="Arial"/>
          <w:color w:val="000000"/>
          <w:sz w:val="22"/>
          <w:szCs w:val="22"/>
          <w:lang w:val="cs-CZ"/>
        </w:rPr>
        <w:t>8</w:t>
      </w:r>
      <w:r w:rsidR="008802E5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="0052331A" w:rsidRPr="0038670B">
        <w:rPr>
          <w:rFonts w:ascii="Arial" w:hAnsi="Arial" w:cs="Arial"/>
          <w:color w:val="000000"/>
          <w:sz w:val="22"/>
          <w:szCs w:val="22"/>
          <w:lang w:val="cs-CZ"/>
        </w:rPr>
        <w:t>11, 12</w:t>
      </w:r>
      <w:r w:rsidR="00913AEE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(§ 3 odst. 7 písm. p</w:t>
      </w:r>
      <w:r w:rsidR="002F48B1" w:rsidRPr="0038670B">
        <w:rPr>
          <w:rFonts w:ascii="Arial" w:hAnsi="Arial" w:cs="Arial"/>
          <w:color w:val="000000"/>
          <w:sz w:val="22"/>
          <w:szCs w:val="22"/>
          <w:lang w:val="cs-CZ"/>
        </w:rPr>
        <w:t>), § 5 odst. 7, § 5 odst. 7 písm. a),</w:t>
      </w:r>
      <w:r w:rsidR="00752AD5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§ 5 odst. 7 písm. b), § 5 odst.</w:t>
      </w:r>
      <w:r w:rsidR="002F48B1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8</w:t>
      </w:r>
      <w:r w:rsidR="00752AD5" w:rsidRPr="0038670B">
        <w:rPr>
          <w:rFonts w:ascii="Arial" w:hAnsi="Arial" w:cs="Arial"/>
          <w:color w:val="000000"/>
          <w:sz w:val="22"/>
          <w:szCs w:val="22"/>
          <w:lang w:val="cs-CZ"/>
        </w:rPr>
        <w:t>, § 5 odst.</w:t>
      </w:r>
      <w:r w:rsidR="002F48B1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9, § 15 odst. 7, § 23 odst. 3):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:rsidR="002F48B1" w:rsidRPr="0038670B" w:rsidRDefault="002F48B1" w:rsidP="002F48B1">
      <w:pPr>
        <w:pStyle w:val="Nadpis1"/>
        <w:keepNext w:val="0"/>
        <w:widowControl w:val="0"/>
        <w:spacing w:before="120" w:after="120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color w:val="000000"/>
          <w:sz w:val="22"/>
          <w:szCs w:val="22"/>
        </w:rPr>
        <w:t>Jedná se o legislativně technickou úpravu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v</w:t>
      </w:r>
      <w:r w:rsidR="00F45C9A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souvislosti</w:t>
      </w:r>
      <w:r w:rsidR="00F45C9A" w:rsidRPr="0038670B">
        <w:rPr>
          <w:rFonts w:ascii="Arial" w:hAnsi="Arial" w:cs="Arial"/>
          <w:b w:val="0"/>
          <w:sz w:val="22"/>
          <w:szCs w:val="22"/>
        </w:rPr>
        <w:t xml:space="preserve"> </w:t>
      </w:r>
      <w:r w:rsidR="00F45C9A" w:rsidRPr="0038670B">
        <w:rPr>
          <w:rFonts w:ascii="Arial" w:hAnsi="Arial" w:cs="Arial"/>
          <w:b w:val="0"/>
          <w:sz w:val="22"/>
          <w:szCs w:val="22"/>
          <w:lang w:val="cs-CZ"/>
        </w:rPr>
        <w:t>s</w:t>
      </w:r>
      <w:r w:rsidR="00F45C9A" w:rsidRPr="0038670B">
        <w:rPr>
          <w:rFonts w:ascii="Arial" w:hAnsi="Arial" w:cs="Arial"/>
          <w:sz w:val="22"/>
          <w:szCs w:val="22"/>
          <w:lang w:val="cs-CZ"/>
        </w:rPr>
        <w:t xml:space="preserve"> </w:t>
      </w:r>
      <w:r w:rsidR="00F45C9A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nápravou nesprávnost</w:t>
      </w:r>
      <w:r w:rsidR="00702B1D"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í</w:t>
      </w:r>
      <w:r w:rsidRPr="0038670B">
        <w:rPr>
          <w:rFonts w:ascii="Arial" w:hAnsi="Arial" w:cs="Arial"/>
          <w:b w:val="0"/>
          <w:color w:val="000000"/>
          <w:sz w:val="22"/>
          <w:szCs w:val="22"/>
          <w:lang w:val="cs-CZ"/>
        </w:rPr>
        <w:t>.</w:t>
      </w:r>
    </w:p>
    <w:p w:rsidR="008E3155" w:rsidRPr="0038670B" w:rsidRDefault="008E3155" w:rsidP="008E3155">
      <w:pPr>
        <w:pStyle w:val="Nadpis1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K bodu </w:t>
      </w:r>
      <w:r w:rsidR="0052331A" w:rsidRPr="0038670B">
        <w:rPr>
          <w:rFonts w:ascii="Arial" w:hAnsi="Arial" w:cs="Arial"/>
          <w:color w:val="000000"/>
          <w:sz w:val="22"/>
          <w:szCs w:val="22"/>
          <w:lang w:val="cs-CZ"/>
        </w:rPr>
        <w:t>9, 20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(§ 11</w:t>
      </w:r>
      <w:r w:rsidR="00913AEE" w:rsidRPr="0038670B">
        <w:rPr>
          <w:rFonts w:ascii="Arial" w:hAnsi="Arial" w:cs="Arial"/>
          <w:color w:val="000000"/>
          <w:sz w:val="22"/>
          <w:szCs w:val="22"/>
          <w:lang w:val="cs-CZ"/>
        </w:rPr>
        <w:t>, Příloha č. 5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>):</w:t>
      </w:r>
    </w:p>
    <w:p w:rsidR="008E3155" w:rsidRPr="0038670B" w:rsidRDefault="008E3155" w:rsidP="008E3155">
      <w:pPr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Jedná se o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legislativně technickou úpravu v souvislosti s</w:t>
      </w:r>
      <w:r w:rsidR="00320EFD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e zákonem č. 221/2015 Sb.,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kterým se mění zákon č. 563/1991 Sb., o účetnictví, ve znění pozdějších předpisů, a některé další zákony.</w:t>
      </w:r>
    </w:p>
    <w:p w:rsidR="008E3155" w:rsidRPr="0038670B" w:rsidRDefault="0052331A" w:rsidP="008E3155">
      <w:pPr>
        <w:pStyle w:val="Nadpis1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>K bodu 10</w:t>
      </w:r>
      <w:r w:rsidR="008E3155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(§ 15 odst. 4):</w:t>
      </w:r>
    </w:p>
    <w:p w:rsidR="008E3155" w:rsidRPr="0038670B" w:rsidRDefault="008E3155" w:rsidP="008E3155">
      <w:pPr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Je navrhována úprava procesu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centrálního systému účetních informací státu vedoucí k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odstranění neaktivních registrovaných uživatelů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(zodpovědných a náhradních zodpovědných osob), přičemž před samotným zrušením hesel, šifrovacích klíčů a dalších technických údajů budou zodpovědné a náhradní zodpovědné osoby osloveny. Proces bude popsán v rámci Technického manuálu centrálního systému účetních informací státu.</w:t>
      </w:r>
    </w:p>
    <w:p w:rsidR="008E3155" w:rsidRPr="0038670B" w:rsidRDefault="0052331A" w:rsidP="008E3155">
      <w:pPr>
        <w:pStyle w:val="Nadpis1"/>
        <w:keepNext w:val="0"/>
        <w:widowControl w:val="0"/>
        <w:spacing w:before="120" w:after="120"/>
        <w:rPr>
          <w:rFonts w:ascii="Arial" w:hAnsi="Arial" w:cs="Arial"/>
          <w:sz w:val="22"/>
          <w:szCs w:val="22"/>
          <w:lang w:val="cs-CZ"/>
        </w:rPr>
      </w:pPr>
      <w:r w:rsidRPr="0038670B">
        <w:rPr>
          <w:rFonts w:ascii="Arial" w:hAnsi="Arial" w:cs="Arial"/>
          <w:sz w:val="22"/>
          <w:szCs w:val="22"/>
          <w:lang w:val="cs-CZ"/>
        </w:rPr>
        <w:t>K bodu 13</w:t>
      </w:r>
      <w:r w:rsidR="008E3155" w:rsidRPr="0038670B">
        <w:rPr>
          <w:rFonts w:ascii="Arial" w:hAnsi="Arial" w:cs="Arial"/>
          <w:sz w:val="22"/>
          <w:szCs w:val="22"/>
          <w:lang w:val="cs-CZ"/>
        </w:rPr>
        <w:t xml:space="preserve"> (</w:t>
      </w:r>
      <w:r w:rsidR="00261782" w:rsidRPr="0038670B">
        <w:rPr>
          <w:rFonts w:ascii="Arial" w:hAnsi="Arial" w:cs="Arial"/>
          <w:sz w:val="22"/>
          <w:szCs w:val="22"/>
          <w:lang w:val="cs-CZ"/>
        </w:rPr>
        <w:t>P</w:t>
      </w:r>
      <w:r w:rsidR="008E3155" w:rsidRPr="0038670B">
        <w:rPr>
          <w:rFonts w:ascii="Arial" w:hAnsi="Arial" w:cs="Arial"/>
          <w:sz w:val="22"/>
          <w:szCs w:val="22"/>
          <w:lang w:val="cs-CZ"/>
        </w:rPr>
        <w:t>říloha č. 2a):</w:t>
      </w:r>
    </w:p>
    <w:p w:rsidR="008E3155" w:rsidRPr="0038670B" w:rsidRDefault="008E3155" w:rsidP="008E3155">
      <w:pPr>
        <w:rPr>
          <w:rFonts w:ascii="Arial" w:hAnsi="Arial" w:cs="Arial"/>
          <w:bCs/>
          <w:sz w:val="22"/>
          <w:szCs w:val="22"/>
          <w:lang w:eastAsia="x-none"/>
        </w:rPr>
      </w:pPr>
      <w:r w:rsidRPr="0038670B">
        <w:rPr>
          <w:rFonts w:ascii="Arial" w:hAnsi="Arial" w:cs="Arial"/>
          <w:bCs/>
          <w:sz w:val="22"/>
          <w:szCs w:val="22"/>
          <w:lang w:eastAsia="x-none"/>
        </w:rPr>
        <w:t xml:space="preserve">V souvislosti se snižováním administrativní zátěže, vyhodnocením provedeného dotazníkového šetření u významných dotčených účetních jednotek, provedením analýzy již předaných Pomocných analytických přehledů do centrálního systému účetních informací státu a především pak v souvislosti s porovnáním nákladů na získání požadovaných informací a přínosů z těchto informací je navrhováno zrušení povinnosti sledovat a vykazovat partnera transakce označeného symbolem „P22“ v Části X a partnera transakce označeného symbolem „P21“ u syntetických účtů 547, 551, 552, 553, 554, 556 (pouze v případě opravných položek k dlouhodobému nehmotnému a hmotnému majetku), 558 a </w:t>
      </w:r>
      <w:r w:rsidR="0038670B">
        <w:rPr>
          <w:rFonts w:ascii="Arial" w:hAnsi="Arial" w:cs="Arial"/>
          <w:bCs/>
          <w:sz w:val="22"/>
          <w:szCs w:val="22"/>
          <w:lang w:eastAsia="x-none"/>
        </w:rPr>
        <w:t>644 a u </w:t>
      </w:r>
      <w:r w:rsidRPr="0038670B">
        <w:rPr>
          <w:rFonts w:ascii="Arial" w:hAnsi="Arial" w:cs="Arial"/>
          <w:bCs/>
          <w:sz w:val="22"/>
          <w:szCs w:val="22"/>
          <w:lang w:eastAsia="x-none"/>
        </w:rPr>
        <w:t>položek 56499 a 66499 v Části XI. Dále se navrhuje zrušit povinnost vykazovat průměrnou marži v Části XI.</w:t>
      </w:r>
    </w:p>
    <w:p w:rsidR="008E3155" w:rsidRPr="0038670B" w:rsidRDefault="008E3155" w:rsidP="00261782">
      <w:pPr>
        <w:spacing w:before="120"/>
        <w:rPr>
          <w:rFonts w:ascii="Arial" w:hAnsi="Arial" w:cs="Arial"/>
          <w:bCs/>
          <w:sz w:val="22"/>
          <w:szCs w:val="22"/>
          <w:lang w:eastAsia="x-none"/>
        </w:rPr>
      </w:pPr>
      <w:r w:rsidRPr="0038670B">
        <w:rPr>
          <w:rFonts w:ascii="Arial" w:hAnsi="Arial" w:cs="Arial"/>
          <w:bCs/>
          <w:sz w:val="22"/>
          <w:szCs w:val="22"/>
          <w:lang w:eastAsia="x-none"/>
        </w:rPr>
        <w:t>Je navrhováno upřesnění uspořádání a označování položek Pomocného analytického přehledu a také upřesnění jejich obsahového vymezení v souvislosti s návrhem vyhlášky, kterou se mění vyhláška č. 410/2009 Sb., kterou se provádějí některá ustan</w:t>
      </w:r>
      <w:r w:rsidR="00A35972" w:rsidRPr="0038670B">
        <w:rPr>
          <w:rFonts w:ascii="Arial" w:hAnsi="Arial" w:cs="Arial"/>
          <w:bCs/>
          <w:sz w:val="22"/>
          <w:szCs w:val="22"/>
          <w:lang w:eastAsia="x-none"/>
        </w:rPr>
        <w:t>ovení zákona č. 563/1991 </w:t>
      </w:r>
      <w:r w:rsidRPr="0038670B">
        <w:rPr>
          <w:rFonts w:ascii="Arial" w:hAnsi="Arial" w:cs="Arial"/>
          <w:bCs/>
          <w:sz w:val="22"/>
          <w:szCs w:val="22"/>
          <w:lang w:eastAsia="x-none"/>
        </w:rPr>
        <w:t xml:space="preserve">Sb., o účetnictví, ve znění pozdějších předpisů, pro některé vybrané účetní jednotky, ve znění pozdějších předpisů. Dále jsou navrhovány úpravy týkající se </w:t>
      </w:r>
      <w:r w:rsidRPr="0038670B">
        <w:rPr>
          <w:rFonts w:ascii="Arial" w:hAnsi="Arial" w:cs="Arial"/>
          <w:bCs/>
          <w:sz w:val="22"/>
          <w:szCs w:val="22"/>
          <w:lang w:val="x-none" w:eastAsia="x-none"/>
        </w:rPr>
        <w:t>zpřesnění informací pro účely monitorování a řízení veřejných financí (včetně mezinárodního výkaznictví v oblasti vládní finanční statistiky, metodika ESA 95, ESA 2010 a GFS 2001)</w:t>
      </w:r>
      <w:r w:rsidRPr="0038670B">
        <w:rPr>
          <w:rFonts w:ascii="Arial" w:hAnsi="Arial" w:cs="Arial"/>
          <w:bCs/>
          <w:sz w:val="22"/>
          <w:szCs w:val="22"/>
          <w:lang w:eastAsia="x-none"/>
        </w:rPr>
        <w:t>.</w:t>
      </w:r>
    </w:p>
    <w:p w:rsidR="008E3155" w:rsidRPr="0038670B" w:rsidRDefault="008E3155" w:rsidP="00261782">
      <w:pPr>
        <w:spacing w:before="120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Taktéž se navrhuje rozšíření </w:t>
      </w:r>
      <w:r w:rsidR="00261782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záhlaví jednotlivých částí PAP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o identifikaci kontaktní osoby.</w:t>
      </w:r>
    </w:p>
    <w:p w:rsidR="008E3155" w:rsidRPr="0038670B" w:rsidRDefault="008E3155" w:rsidP="00017802">
      <w:pPr>
        <w:pStyle w:val="Nadpis1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>K </w:t>
      </w:r>
      <w:r w:rsidR="0052331A" w:rsidRPr="0038670B">
        <w:rPr>
          <w:rFonts w:ascii="Arial" w:hAnsi="Arial" w:cs="Arial"/>
          <w:color w:val="000000"/>
          <w:sz w:val="22"/>
          <w:szCs w:val="22"/>
          <w:lang w:val="cs-CZ"/>
        </w:rPr>
        <w:t>bodům 14</w:t>
      </w:r>
      <w:r w:rsidR="00FA5EEB" w:rsidRPr="0038670B">
        <w:rPr>
          <w:rFonts w:ascii="Arial" w:hAnsi="Arial" w:cs="Arial"/>
          <w:color w:val="000000"/>
          <w:sz w:val="22"/>
          <w:szCs w:val="22"/>
          <w:lang w:val="cs-CZ"/>
        </w:rPr>
        <w:t>,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2331A" w:rsidRPr="0038670B">
        <w:rPr>
          <w:rFonts w:ascii="Arial" w:hAnsi="Arial" w:cs="Arial"/>
          <w:color w:val="000000"/>
          <w:sz w:val="22"/>
          <w:szCs w:val="22"/>
          <w:lang w:val="cs-CZ"/>
        </w:rPr>
        <w:t>18</w:t>
      </w:r>
      <w:r w:rsidR="00D4418F" w:rsidRPr="0038670B">
        <w:rPr>
          <w:rFonts w:ascii="Arial" w:hAnsi="Arial" w:cs="Arial"/>
          <w:color w:val="000000"/>
          <w:sz w:val="22"/>
          <w:szCs w:val="22"/>
          <w:lang w:val="cs-CZ"/>
        </w:rPr>
        <w:t>, 19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(</w:t>
      </w:r>
      <w:r w:rsidR="00261782" w:rsidRPr="0038670B">
        <w:rPr>
          <w:rFonts w:ascii="Arial" w:hAnsi="Arial" w:cs="Arial"/>
          <w:color w:val="000000"/>
          <w:sz w:val="22"/>
          <w:szCs w:val="22"/>
          <w:lang w:val="cs-CZ"/>
        </w:rPr>
        <w:t>Příloha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č. 2b</w:t>
      </w:r>
      <w:r w:rsidR="00FA5EEB" w:rsidRPr="0038670B">
        <w:rPr>
          <w:rFonts w:ascii="Arial" w:hAnsi="Arial" w:cs="Arial"/>
          <w:color w:val="000000"/>
          <w:sz w:val="22"/>
          <w:szCs w:val="22"/>
          <w:lang w:val="cs-CZ"/>
        </w:rPr>
        <w:t>, Příloha č.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4</w:t>
      </w:r>
      <w:r w:rsidR="00D4418F" w:rsidRPr="0038670B">
        <w:rPr>
          <w:rFonts w:ascii="Arial" w:hAnsi="Arial" w:cs="Arial"/>
          <w:color w:val="000000"/>
          <w:sz w:val="22"/>
          <w:szCs w:val="22"/>
          <w:lang w:val="cs-CZ"/>
        </w:rPr>
        <w:t>, Příloha č. 5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>):</w:t>
      </w:r>
    </w:p>
    <w:p w:rsidR="008E3155" w:rsidRPr="0038670B" w:rsidRDefault="008E3155" w:rsidP="008E3155">
      <w:pPr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Navrhuje se odstranění číslování výkazů z důvodu sjednocení informací o jednotlivých výkazech centrálního systému účetních informací státu.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K bodu </w:t>
      </w:r>
      <w:r w:rsidR="0052331A" w:rsidRPr="0038670B">
        <w:rPr>
          <w:rFonts w:ascii="Arial" w:hAnsi="Arial" w:cs="Arial"/>
          <w:color w:val="000000"/>
          <w:sz w:val="22"/>
          <w:szCs w:val="22"/>
          <w:lang w:val="cs-CZ"/>
        </w:rPr>
        <w:t>15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(</w:t>
      </w:r>
      <w:r w:rsidR="00FA5EEB" w:rsidRPr="0038670B">
        <w:rPr>
          <w:rFonts w:ascii="Arial" w:hAnsi="Arial" w:cs="Arial"/>
          <w:color w:val="000000"/>
          <w:sz w:val="22"/>
          <w:szCs w:val="22"/>
          <w:lang w:val="cs-CZ"/>
        </w:rPr>
        <w:t>Příloha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č. 3):</w:t>
      </w:r>
    </w:p>
    <w:p w:rsidR="008E3155" w:rsidRPr="0038670B" w:rsidRDefault="008E3155" w:rsidP="008E3155">
      <w:pPr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lastRenderedPageBreak/>
        <w:t xml:space="preserve">Příloha č. 3 se navrhuje rozšířit o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nový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účetní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záznam v rámci konsolidačních účetních záznamů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. Jedná se o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Pomocný konsolidační záznam, jehož hlavním smyslem je zejména získat vysvětlení k významným rozdílům</w:t>
      </w:r>
      <w:r w:rsidR="00FA5EEB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zjištěným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v rámci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křížových kontrol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, a to z důvodu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identifikace vzájemných vztahů. Vysvětlení bude sloužit jednak pro sestavení komentářů k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účetním výkazům za Českou republiku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a také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pro účely automatického, či manuálního doúčtování vzniklých rozdílů v rámci konsolidačního modulu. Na základě automatizované nebo manuální akce bude vytvořena žádanka Pom</w:t>
      </w:r>
      <w:r w:rsid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ocného konsolidačního záznamu a</w:t>
      </w:r>
      <w:r w:rsid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zaslána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zodpovědným a náhradním zodpovědným osobám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dané účetní jednotky do</w:t>
      </w:r>
      <w:r w:rsid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Inboxu v 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rámci</w:t>
      </w:r>
      <w:r w:rsidRPr="0038670B">
        <w:rPr>
          <w:rFonts w:ascii="Arial" w:hAnsi="Arial" w:cs="Arial"/>
          <w:sz w:val="22"/>
          <w:szCs w:val="22"/>
        </w:rPr>
        <w:t xml:space="preserve">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komunikačního serveru centrálního systému účetních informací státu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. Prostřednictví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m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Pomocného konsolidačního záznamu účetní jednotka do pěti pracovních dnů od obdržení požadavku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poskytne požadované vysvětlení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jeho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</w:t>
      </w:r>
      <w:r w:rsidR="00FA5EEB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předáním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do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centrálního systému účetních informací státu. Pro účetní jednotku bude vždy vytvořen pouze jeden Pomocný konsolidační záznam, který bude obsahovat rozdíly nad stanovenou hladinu významnosti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. Hladina významnosti bude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v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rámci nastavení konsolidačního modulu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stanovena Ministerstvem financí a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rozdíly v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kontrolních vazbách budou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dotčenou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účetní jednotkou vysvětleny.</w:t>
      </w:r>
    </w:p>
    <w:p w:rsidR="008E3155" w:rsidRPr="0038670B" w:rsidRDefault="008E3155" w:rsidP="00FA5EEB">
      <w:pPr>
        <w:spacing w:before="120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Dále se navrhuje odstranění číslování výkazů z důvodu sjednocení informací o jednotlivých výkazech centrálního systému účetních informací státu.</w:t>
      </w:r>
    </w:p>
    <w:p w:rsidR="008E3155" w:rsidRPr="0038670B" w:rsidRDefault="00FA5EEB" w:rsidP="00FA5EEB">
      <w:pPr>
        <w:spacing w:before="120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Současně dochází k rozdělení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účetních záznamů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Přehled</w:t>
      </w:r>
      <w:r w:rsidR="00017802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o peněžních tocích a Přehled o</w:t>
      </w:r>
      <w:r w:rsidR="00017802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změnách vlastního kapitálu, kdy se jedná o opravu nepřesnosti.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K bodu </w:t>
      </w:r>
      <w:r w:rsidR="0052331A" w:rsidRPr="0038670B">
        <w:rPr>
          <w:rFonts w:ascii="Arial" w:hAnsi="Arial" w:cs="Arial"/>
          <w:color w:val="000000"/>
          <w:sz w:val="22"/>
          <w:szCs w:val="22"/>
          <w:lang w:val="cs-CZ"/>
        </w:rPr>
        <w:t>16</w:t>
      </w:r>
      <w:r w:rsidR="00EB6EDA"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(P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>říloha č. 3a):</w:t>
      </w:r>
    </w:p>
    <w:p w:rsidR="008E3155" w:rsidRPr="0038670B" w:rsidRDefault="00EB6EDA" w:rsidP="008E3155">
      <w:pPr>
        <w:rPr>
          <w:rFonts w:ascii="Arial" w:hAnsi="Arial" w:cs="Arial"/>
          <w:bCs/>
          <w:color w:val="FF0000"/>
          <w:sz w:val="22"/>
          <w:szCs w:val="22"/>
          <w:lang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V rámci metodických dnů a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seminářů bylo spravujícím jednotkám přislíbeno, že 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dojde k</w:t>
      </w:r>
      <w:r w:rsidR="00E25639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významné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mu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zjednodušení rozsahu vyplňování Pomocného konsolidačního přehledu obchodními korporacemi, 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v nichž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má stát nebo územní samosprávný celek pouze podstatný nebo společný vliv na řízení a ovládání, 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respektive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neovládá obchodní korporaci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. Jedná se o úpravu, 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při níž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dotčené účetní jednotky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pouze uvedou takové položky, které jsou nezbytné 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pro sestavení účetních výkazů za Českou republiku v oblasti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kapitálu. Jedná se pouze </w:t>
      </w:r>
      <w:r w:rsidR="00017802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o 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uvedení výše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základního kapitálu, kapitálových fondů, rezervního fondu, nedělitelného fondu a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ostatních fondů ze zisku, výsledku hospodaření minulých let a výsledku hospodaření běžného účetního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</w:t>
      </w:r>
      <w:r w:rsidR="008E3155"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období. 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 xml:space="preserve">Uvedené obchodní korporace budou do centrálního systému účetních informací státu předávat </w:t>
      </w:r>
      <w:r w:rsidR="008E3155" w:rsidRPr="0038670B">
        <w:rPr>
          <w:rFonts w:ascii="Arial" w:hAnsi="Arial" w:cs="Arial"/>
          <w:bCs/>
          <w:sz w:val="22"/>
          <w:szCs w:val="22"/>
          <w:lang w:val="x-none" w:eastAsia="x-none"/>
        </w:rPr>
        <w:t xml:space="preserve">pouze 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>Část</w:t>
      </w:r>
      <w:r w:rsidR="008E3155" w:rsidRPr="0038670B">
        <w:rPr>
          <w:rFonts w:ascii="Arial" w:hAnsi="Arial" w:cs="Arial"/>
          <w:bCs/>
          <w:sz w:val="22"/>
          <w:szCs w:val="22"/>
          <w:lang w:val="x-none" w:eastAsia="x-none"/>
        </w:rPr>
        <w:t xml:space="preserve"> VI Pomocného konsolidačního přehledu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 xml:space="preserve">, </w:t>
      </w:r>
      <w:r w:rsidR="008E3155" w:rsidRPr="0038670B">
        <w:rPr>
          <w:rFonts w:ascii="Arial" w:hAnsi="Arial" w:cs="Arial"/>
          <w:bCs/>
          <w:sz w:val="22"/>
          <w:szCs w:val="22"/>
          <w:lang w:val="x-none" w:eastAsia="x-none"/>
        </w:rPr>
        <w:t xml:space="preserve">Části I až V Pomocného konsolidačního přehledu se na tyto subjekty nevztahují. Jelikož v rámci Pomocného analytického přehledu 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 xml:space="preserve">je navrhováno zrušení povinnosti </w:t>
      </w:r>
      <w:r w:rsidR="008E3155" w:rsidRPr="0038670B">
        <w:rPr>
          <w:rFonts w:ascii="Arial" w:hAnsi="Arial" w:cs="Arial"/>
          <w:bCs/>
          <w:sz w:val="22"/>
          <w:szCs w:val="22"/>
          <w:lang w:val="x-none" w:eastAsia="x-none"/>
        </w:rPr>
        <w:t xml:space="preserve">sledování 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 xml:space="preserve">a vykazování </w:t>
      </w:r>
      <w:r w:rsidR="008E3155" w:rsidRPr="0038670B">
        <w:rPr>
          <w:rFonts w:ascii="Arial" w:hAnsi="Arial" w:cs="Arial"/>
          <w:bCs/>
          <w:sz w:val="22"/>
          <w:szCs w:val="22"/>
          <w:lang w:val="x-none" w:eastAsia="x-none"/>
        </w:rPr>
        <w:t>partnerů u majetkových a souvisejících položek a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> průměrné marže</w:t>
      </w:r>
      <w:r w:rsidR="008E3155" w:rsidRPr="0038670B">
        <w:rPr>
          <w:rFonts w:ascii="Arial" w:hAnsi="Arial" w:cs="Arial"/>
          <w:bCs/>
          <w:sz w:val="22"/>
          <w:szCs w:val="22"/>
          <w:lang w:val="x-none" w:eastAsia="x-none"/>
        </w:rPr>
        <w:t>, promítá se tato změna v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> </w:t>
      </w:r>
      <w:r w:rsidR="008E3155" w:rsidRPr="0038670B">
        <w:rPr>
          <w:rFonts w:ascii="Arial" w:hAnsi="Arial" w:cs="Arial"/>
          <w:bCs/>
          <w:sz w:val="22"/>
          <w:szCs w:val="22"/>
          <w:lang w:val="x-none" w:eastAsia="x-none"/>
        </w:rPr>
        <w:t>přímé návaznosti i do Pomocného konsolidačního přehledu</w:t>
      </w:r>
      <w:r w:rsidR="008E3155" w:rsidRPr="0038670B">
        <w:rPr>
          <w:rFonts w:ascii="Arial" w:hAnsi="Arial" w:cs="Arial"/>
          <w:bCs/>
          <w:sz w:val="22"/>
          <w:szCs w:val="22"/>
          <w:lang w:eastAsia="x-none"/>
        </w:rPr>
        <w:t>.</w:t>
      </w:r>
    </w:p>
    <w:p w:rsidR="008E3155" w:rsidRPr="0038670B" w:rsidRDefault="008E3155" w:rsidP="008E3155">
      <w:pPr>
        <w:pStyle w:val="Nadpis1"/>
        <w:keepNext w:val="0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K bodu </w:t>
      </w:r>
      <w:r w:rsidR="0052331A" w:rsidRPr="0038670B">
        <w:rPr>
          <w:rFonts w:ascii="Arial" w:hAnsi="Arial" w:cs="Arial"/>
          <w:color w:val="000000"/>
          <w:sz w:val="22"/>
          <w:szCs w:val="22"/>
          <w:lang w:val="cs-CZ"/>
        </w:rPr>
        <w:t>17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 xml:space="preserve"> (</w:t>
      </w:r>
      <w:r w:rsidR="00EB6EDA" w:rsidRPr="0038670B"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38670B">
        <w:rPr>
          <w:rFonts w:ascii="Arial" w:hAnsi="Arial" w:cs="Arial"/>
          <w:color w:val="000000"/>
          <w:sz w:val="22"/>
          <w:szCs w:val="22"/>
          <w:lang w:val="cs-CZ"/>
        </w:rPr>
        <w:t>říloha č. 3b):</w:t>
      </w:r>
    </w:p>
    <w:p w:rsidR="008E3155" w:rsidRPr="0038670B" w:rsidRDefault="008E3155" w:rsidP="008E3155">
      <w:pPr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Z důvodu, že </w:t>
      </w:r>
      <w:r w:rsidR="00EB6EDA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S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eznam má charakter spíše konsolidačního účetního záznamu, a vzhledem ke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skutečnosti, že v technické vyhlášce o účetních záznamech je většina vzorů účetních záznamů předávaných do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centrálního systému účetních informací státu, dochází k přesunutí přílohy č. 1 konsolidační vyhlášky státu do technické vyhlášky o účetních záznamech.</w:t>
      </w:r>
    </w:p>
    <w:p w:rsidR="008E3155" w:rsidRPr="0038670B" w:rsidRDefault="008E3155" w:rsidP="00EB6EDA">
      <w:pPr>
        <w:spacing w:before="120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Dále se navrhuje rozdělení sledování vlivu na řízení a ovládání a podílu na základním kapitálu na přímý a nepřímý vliv, resp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ektive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kapitál. Důvodem tohoto rozdělení jsou jednak požadavky technického řešení účetní konsolidace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státu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také možnost 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provedení kontroly vykázaného přímého vlivu a přímého podílu mezi Částmi I a II </w:t>
      </w:r>
      <w:r w:rsidR="00017802"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Seznamu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, které by v součtu u</w:t>
      </w:r>
      <w:r w:rsidRPr="0038670B">
        <w:rPr>
          <w:rFonts w:ascii="Arial" w:hAnsi="Arial" w:cs="Arial"/>
          <w:bCs/>
          <w:color w:val="000000"/>
          <w:sz w:val="22"/>
          <w:szCs w:val="22"/>
          <w:lang w:eastAsia="x-none"/>
        </w:rPr>
        <w:t> </w:t>
      </w:r>
      <w:r w:rsidRPr="0038670B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jedné účetní jednotky neměly přesáhnout hodnotu 100 %.</w:t>
      </w:r>
    </w:p>
    <w:p w:rsidR="008E3155" w:rsidRPr="0038670B" w:rsidRDefault="008E3155" w:rsidP="008E3155">
      <w:pPr>
        <w:keepNext/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II</w:t>
      </w:r>
    </w:p>
    <w:p w:rsidR="008E3155" w:rsidRPr="0038670B" w:rsidRDefault="00063C81" w:rsidP="00063C81">
      <w:pPr>
        <w:pStyle w:val="Nadpis1"/>
        <w:keepNext w:val="0"/>
        <w:widowControl w:val="0"/>
        <w:spacing w:before="120" w:after="120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38670B">
        <w:rPr>
          <w:rFonts w:ascii="Arial" w:hAnsi="Arial" w:cs="Arial"/>
          <w:b w:val="0"/>
          <w:color w:val="000000"/>
          <w:sz w:val="22"/>
          <w:szCs w:val="22"/>
        </w:rPr>
        <w:t>Navrhovaná ustanovení použijí vybrané účetní jednotky poprvé v účetním období započatém dne 1. ledna 2016 a později</w:t>
      </w:r>
      <w:r w:rsidR="008E3155" w:rsidRPr="0038670B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063C81" w:rsidRPr="0038670B" w:rsidRDefault="00063C81" w:rsidP="008E3155">
      <w:pPr>
        <w:rPr>
          <w:rFonts w:ascii="Arial" w:hAnsi="Arial" w:cs="Arial"/>
          <w:b/>
          <w:color w:val="000000"/>
          <w:sz w:val="22"/>
          <w:szCs w:val="22"/>
        </w:rPr>
      </w:pPr>
    </w:p>
    <w:p w:rsidR="008E3155" w:rsidRPr="0038670B" w:rsidRDefault="008E3155" w:rsidP="008E3155">
      <w:pPr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b/>
          <w:color w:val="000000"/>
          <w:sz w:val="22"/>
          <w:szCs w:val="22"/>
        </w:rPr>
        <w:t>K Čl. III</w:t>
      </w:r>
    </w:p>
    <w:p w:rsidR="00F915A2" w:rsidRPr="0038670B" w:rsidRDefault="00063C81" w:rsidP="0038670B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38670B">
        <w:rPr>
          <w:rFonts w:ascii="Arial" w:hAnsi="Arial" w:cs="Arial"/>
          <w:sz w:val="22"/>
          <w:szCs w:val="22"/>
        </w:rPr>
        <w:lastRenderedPageBreak/>
        <w:t>Účinnost vyhlášky je navrhována dnem 1. ledna 2016.</w:t>
      </w:r>
    </w:p>
    <w:sectPr w:rsidR="00F915A2" w:rsidRPr="0038670B" w:rsidSect="001F687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51" w:rsidRDefault="00E77551">
      <w:r>
        <w:separator/>
      </w:r>
    </w:p>
  </w:endnote>
  <w:endnote w:type="continuationSeparator" w:id="0">
    <w:p w:rsidR="00E77551" w:rsidRDefault="00E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6A" w:rsidRDefault="008E3155" w:rsidP="00ED23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5D6A" w:rsidRDefault="009029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9029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51" w:rsidRDefault="00E77551">
      <w:r>
        <w:separator/>
      </w:r>
    </w:p>
  </w:footnote>
  <w:footnote w:type="continuationSeparator" w:id="0">
    <w:p w:rsidR="00E77551" w:rsidRDefault="00E7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8E3155" w:rsidP="00662E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E34" w:rsidRDefault="009029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8E3155" w:rsidP="00662E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966">
      <w:rPr>
        <w:rStyle w:val="slostrnky"/>
        <w:noProof/>
      </w:rPr>
      <w:t>6</w:t>
    </w:r>
    <w:r>
      <w:rPr>
        <w:rStyle w:val="slostrnky"/>
      </w:rPr>
      <w:fldChar w:fldCharType="end"/>
    </w:r>
  </w:p>
  <w:p w:rsidR="00662E34" w:rsidRDefault="009029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</w:lvl>
  </w:abstractNum>
  <w:abstractNum w:abstractNumId="1">
    <w:nsid w:val="34752B6A"/>
    <w:multiLevelType w:val="hybridMultilevel"/>
    <w:tmpl w:val="8EEEB39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202A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57949"/>
    <w:multiLevelType w:val="hybridMultilevel"/>
    <w:tmpl w:val="8EA0016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5F3AFE"/>
    <w:multiLevelType w:val="hybridMultilevel"/>
    <w:tmpl w:val="EA8ED19C"/>
    <w:lvl w:ilvl="0" w:tplc="0405000F">
      <w:start w:val="1"/>
      <w:numFmt w:val="decimal"/>
      <w:lvlText w:val="%1."/>
      <w:lvlJc w:val="left"/>
      <w:pPr>
        <w:ind w:left="1006" w:hanging="360"/>
      </w:p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5">
    <w:nsid w:val="44E65C32"/>
    <w:multiLevelType w:val="hybridMultilevel"/>
    <w:tmpl w:val="8C08A4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8B392C"/>
    <w:multiLevelType w:val="hybridMultilevel"/>
    <w:tmpl w:val="C98A6D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3553317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17167"/>
    <w:multiLevelType w:val="hybridMultilevel"/>
    <w:tmpl w:val="30583124"/>
    <w:lvl w:ilvl="0" w:tplc="42644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764E8F"/>
    <w:multiLevelType w:val="hybridMultilevel"/>
    <w:tmpl w:val="970646C2"/>
    <w:lvl w:ilvl="0" w:tplc="81D697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6DF634B1"/>
    <w:multiLevelType w:val="hybridMultilevel"/>
    <w:tmpl w:val="3FF87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C6D24"/>
    <w:multiLevelType w:val="hybridMultilevel"/>
    <w:tmpl w:val="A686E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83792"/>
    <w:multiLevelType w:val="hybridMultilevel"/>
    <w:tmpl w:val="2B9C737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DCD79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0"/>
    <w:lvlOverride w:ilvl="0">
      <w:startOverride w:val="4"/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3E"/>
    <w:rsid w:val="00017802"/>
    <w:rsid w:val="000338B5"/>
    <w:rsid w:val="00041B30"/>
    <w:rsid w:val="0005360C"/>
    <w:rsid w:val="00063C81"/>
    <w:rsid w:val="0006649E"/>
    <w:rsid w:val="000B3D8F"/>
    <w:rsid w:val="000C59AA"/>
    <w:rsid w:val="000D43F9"/>
    <w:rsid w:val="000E1E82"/>
    <w:rsid w:val="0010486D"/>
    <w:rsid w:val="00125FFA"/>
    <w:rsid w:val="00143F73"/>
    <w:rsid w:val="00144DE1"/>
    <w:rsid w:val="00172663"/>
    <w:rsid w:val="001F6873"/>
    <w:rsid w:val="002549FF"/>
    <w:rsid w:val="00261782"/>
    <w:rsid w:val="00264BA1"/>
    <w:rsid w:val="00273E0A"/>
    <w:rsid w:val="00275017"/>
    <w:rsid w:val="002A65BD"/>
    <w:rsid w:val="002C3E38"/>
    <w:rsid w:val="002D6366"/>
    <w:rsid w:val="002F072D"/>
    <w:rsid w:val="002F48B1"/>
    <w:rsid w:val="00302596"/>
    <w:rsid w:val="00313427"/>
    <w:rsid w:val="00320EFD"/>
    <w:rsid w:val="0037309F"/>
    <w:rsid w:val="0038670B"/>
    <w:rsid w:val="003960EC"/>
    <w:rsid w:val="003B308F"/>
    <w:rsid w:val="003B4C2B"/>
    <w:rsid w:val="003C3079"/>
    <w:rsid w:val="003C4573"/>
    <w:rsid w:val="003F4719"/>
    <w:rsid w:val="00405642"/>
    <w:rsid w:val="00434110"/>
    <w:rsid w:val="00455D90"/>
    <w:rsid w:val="0047551F"/>
    <w:rsid w:val="00495367"/>
    <w:rsid w:val="004A1FF2"/>
    <w:rsid w:val="004E4474"/>
    <w:rsid w:val="00502D76"/>
    <w:rsid w:val="005127AA"/>
    <w:rsid w:val="0052331A"/>
    <w:rsid w:val="005259BE"/>
    <w:rsid w:val="005602C3"/>
    <w:rsid w:val="00597E27"/>
    <w:rsid w:val="006923C7"/>
    <w:rsid w:val="006C5AF0"/>
    <w:rsid w:val="006D0F05"/>
    <w:rsid w:val="006E0B09"/>
    <w:rsid w:val="006E7B8A"/>
    <w:rsid w:val="00702584"/>
    <w:rsid w:val="00702B1D"/>
    <w:rsid w:val="00702E51"/>
    <w:rsid w:val="00752AD5"/>
    <w:rsid w:val="007535DA"/>
    <w:rsid w:val="0077285D"/>
    <w:rsid w:val="007B6D31"/>
    <w:rsid w:val="00816079"/>
    <w:rsid w:val="00860FF7"/>
    <w:rsid w:val="008802E5"/>
    <w:rsid w:val="008A7D92"/>
    <w:rsid w:val="008E3155"/>
    <w:rsid w:val="00902966"/>
    <w:rsid w:val="00913AEE"/>
    <w:rsid w:val="009238CB"/>
    <w:rsid w:val="0093044D"/>
    <w:rsid w:val="009B2B6B"/>
    <w:rsid w:val="00A043D5"/>
    <w:rsid w:val="00A35972"/>
    <w:rsid w:val="00A404A5"/>
    <w:rsid w:val="00A51A3F"/>
    <w:rsid w:val="00A63ACC"/>
    <w:rsid w:val="00A85B8B"/>
    <w:rsid w:val="00AA1F8F"/>
    <w:rsid w:val="00AD5037"/>
    <w:rsid w:val="00AE2671"/>
    <w:rsid w:val="00B02630"/>
    <w:rsid w:val="00B072BF"/>
    <w:rsid w:val="00B33F2D"/>
    <w:rsid w:val="00B51483"/>
    <w:rsid w:val="00B64284"/>
    <w:rsid w:val="00BC7AC2"/>
    <w:rsid w:val="00BD561D"/>
    <w:rsid w:val="00BF72E7"/>
    <w:rsid w:val="00C1613E"/>
    <w:rsid w:val="00C56150"/>
    <w:rsid w:val="00C61605"/>
    <w:rsid w:val="00C6780E"/>
    <w:rsid w:val="00C9057A"/>
    <w:rsid w:val="00CF2B6D"/>
    <w:rsid w:val="00D4418F"/>
    <w:rsid w:val="00D87A9F"/>
    <w:rsid w:val="00E01832"/>
    <w:rsid w:val="00E0252B"/>
    <w:rsid w:val="00E07CAC"/>
    <w:rsid w:val="00E163D6"/>
    <w:rsid w:val="00E25639"/>
    <w:rsid w:val="00E45C9E"/>
    <w:rsid w:val="00E5724C"/>
    <w:rsid w:val="00E62CAD"/>
    <w:rsid w:val="00E77551"/>
    <w:rsid w:val="00EB6EDA"/>
    <w:rsid w:val="00F45C9A"/>
    <w:rsid w:val="00F536B0"/>
    <w:rsid w:val="00F67A2F"/>
    <w:rsid w:val="00F9135D"/>
    <w:rsid w:val="00F915A2"/>
    <w:rsid w:val="00FA5EEB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3155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315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8E3155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8E3155"/>
  </w:style>
  <w:style w:type="paragraph" w:styleId="Zhlav">
    <w:name w:val="header"/>
    <w:basedOn w:val="Normln"/>
    <w:link w:val="Zhlav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31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3155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C1613E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C1613E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C1613E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C1613E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AD5037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AD5037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AD5037"/>
    <w:pPr>
      <w:numPr>
        <w:numId w:val="2"/>
      </w:num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AD503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AD5037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AD5037"/>
    <w:pPr>
      <w:keepNext/>
      <w:keepLines/>
      <w:jc w:val="center"/>
      <w:outlineLvl w:val="1"/>
    </w:pPr>
    <w:rPr>
      <w:b/>
      <w:caps/>
    </w:rPr>
  </w:style>
  <w:style w:type="table" w:styleId="Mkatabulky">
    <w:name w:val="Table Grid"/>
    <w:basedOn w:val="Normlntabulka"/>
    <w:rsid w:val="00B5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F913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315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8E3155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8E3155"/>
  </w:style>
  <w:style w:type="paragraph" w:styleId="Zhlav">
    <w:name w:val="header"/>
    <w:basedOn w:val="Normln"/>
    <w:link w:val="ZhlavChar"/>
    <w:rsid w:val="008E3155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3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1995</Words>
  <Characters>11775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Bc.</dc:creator>
  <cp:lastModifiedBy>KACR - Pavla Psenickova</cp:lastModifiedBy>
  <cp:revision>2</cp:revision>
  <cp:lastPrinted>2015-09-23T13:38:00Z</cp:lastPrinted>
  <dcterms:created xsi:type="dcterms:W3CDTF">2015-10-06T06:13:00Z</dcterms:created>
  <dcterms:modified xsi:type="dcterms:W3CDTF">2015-10-06T06:13:00Z</dcterms:modified>
</cp:coreProperties>
</file>