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11" w:rsidRPr="00167CEE" w:rsidRDefault="00440F11" w:rsidP="00167CEE">
      <w:pPr>
        <w:spacing w:after="60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67CEE">
        <w:rPr>
          <w:rFonts w:ascii="Arial" w:hAnsi="Arial" w:cs="Arial"/>
          <w:b/>
          <w:sz w:val="22"/>
          <w:szCs w:val="22"/>
        </w:rPr>
        <w:t>III.</w:t>
      </w:r>
    </w:p>
    <w:p w:rsidR="00440F11" w:rsidRPr="0057578A" w:rsidRDefault="008247DA" w:rsidP="00167CEE">
      <w:pPr>
        <w:spacing w:after="600"/>
        <w:jc w:val="center"/>
      </w:pPr>
      <w:r>
        <w:rPr>
          <w:rFonts w:ascii="Arial" w:hAnsi="Arial" w:cs="Arial"/>
          <w:b/>
          <w:szCs w:val="22"/>
        </w:rPr>
        <w:t>ODŮVODNĚNÍ</w:t>
      </w:r>
    </w:p>
    <w:p w:rsidR="00440F11" w:rsidRPr="00167CEE" w:rsidRDefault="00440F11" w:rsidP="00440F1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7CEE">
        <w:rPr>
          <w:rFonts w:ascii="Arial" w:hAnsi="Arial" w:cs="Arial"/>
          <w:b/>
          <w:bCs/>
          <w:sz w:val="22"/>
          <w:szCs w:val="22"/>
        </w:rPr>
        <w:t>Obecná část</w:t>
      </w:r>
    </w:p>
    <w:p w:rsidR="00440F11" w:rsidRPr="00167CEE" w:rsidRDefault="00440F11" w:rsidP="00440F11">
      <w:pPr>
        <w:jc w:val="both"/>
        <w:rPr>
          <w:rFonts w:ascii="Arial" w:hAnsi="Arial" w:cs="Arial"/>
          <w:sz w:val="22"/>
          <w:szCs w:val="22"/>
        </w:rPr>
      </w:pPr>
    </w:p>
    <w:p w:rsidR="00440F11" w:rsidRPr="00167CEE" w:rsidRDefault="00440F11" w:rsidP="00440F11">
      <w:pPr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>Název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Návrh vyhlášky, kterou se mění vyhláška č. 503/2002 Sb., kterou se provádějí některá ustanovení zákona č. 563/1991 Sb., o účetnictví, ve znění pozdějších předpisů, pro zdravotní pojišťovny, ve znění pozdějších předpisů, (dále jen „návrh vyhlášky“).</w:t>
      </w:r>
    </w:p>
    <w:p w:rsidR="00440F11" w:rsidRPr="00167CEE" w:rsidRDefault="00440F11" w:rsidP="00440F11">
      <w:pPr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>Vysvětlení nezbytnosti navrhované právní úpravy identifikací problémů, cílů, kterých má být dosaženo a rizik spojených s nečinností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Důvodem předložení návrhu vyhlášky jsou zejména změny:</w:t>
      </w:r>
    </w:p>
    <w:p w:rsidR="00440F11" w:rsidRPr="00167CEE" w:rsidRDefault="00440F11" w:rsidP="00440F1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legislativně technického charakteru související se zajištěním souladu se zákonem č. 221/2015 Sb., kterým se mění zákon č. 563/1991 Sb., o účetnictví, ve znění pozdějších předpisů, a některé další zákony, (dále jen „zákon č. 221/2015 Sb.“) který především provádí dokončení transpozice směrnice Evropského parlamentu a Rady 2013/34/EU ze dne 26. června 2013 o ročních účetních závěrkách, konsolidovaných účetních závěrkách a souvisejících zprávách některých forem podniků, o změně směrnic Evropského p</w:t>
      </w:r>
      <w:r w:rsidR="00167CEE">
        <w:rPr>
          <w:rFonts w:ascii="Arial" w:hAnsi="Arial" w:cs="Arial"/>
          <w:sz w:val="22"/>
          <w:szCs w:val="22"/>
        </w:rPr>
        <w:t>arlamentu a Rady 2006/43/ES a o </w:t>
      </w:r>
      <w:r w:rsidRPr="00167CEE">
        <w:rPr>
          <w:rFonts w:ascii="Arial" w:hAnsi="Arial" w:cs="Arial"/>
          <w:sz w:val="22"/>
          <w:szCs w:val="22"/>
        </w:rPr>
        <w:t>zrušení směrnic Rady 78/660/EHS a 83/349/EHS,</w:t>
      </w:r>
    </w:p>
    <w:p w:rsidR="00440F11" w:rsidRPr="00167CEE" w:rsidRDefault="00440F11" w:rsidP="00440F1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legislativně technického charakteru související s návrhem vyhlášky, kterou se mění vyhláška č. 502/2002 Sb., kterou se provádějí některá ustanovení zákona č. 563/1991 Sb., o účetnictví, ve znění pozdějších předpisů, pro účetní jednotky, které jsou pojišťovnami, ve znění pozdějších předpisů, (dále jen „návrh vyhlášky č. 502/2002 Sb.“),</w:t>
      </w:r>
    </w:p>
    <w:p w:rsidR="00440F11" w:rsidRPr="00167CEE" w:rsidRDefault="00440F11" w:rsidP="00440F1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související s upřesněním obsahového vymezení položky rozvahy „C. Dlouhodobý hmotný majetek“, konkrétně práva stavby a věcných břemen, a</w:t>
      </w:r>
    </w:p>
    <w:p w:rsidR="00440F11" w:rsidRPr="00167CEE" w:rsidRDefault="00440F11" w:rsidP="00440F1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 xml:space="preserve">legislativně technického charakteru za účelem zvýšení právní jistoty vybraných účetních jednotek.  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Cílem předložení návrhu vyhlášky je</w:t>
      </w:r>
      <w:r w:rsidRPr="00167CEE">
        <w:rPr>
          <w:rFonts w:ascii="Arial" w:hAnsi="Arial" w:cs="Arial"/>
          <w:sz w:val="22"/>
          <w:szCs w:val="22"/>
        </w:rPr>
        <w:t xml:space="preserve"> </w:t>
      </w:r>
      <w:r w:rsidRPr="00167CEE">
        <w:rPr>
          <w:rFonts w:ascii="Arial" w:hAnsi="Arial" w:cs="Arial"/>
          <w:b w:val="0"/>
          <w:sz w:val="22"/>
          <w:szCs w:val="22"/>
        </w:rPr>
        <w:t>posílení právní jistoty zdravotních pojišťoven, a to v souvislosti se zajištěním souladu se zákonem č. 221/2015 Sb. a s návrhem vyhlášky č. 502/2002 Sb.</w:t>
      </w:r>
    </w:p>
    <w:p w:rsidR="00440F11" w:rsidRPr="00167CEE" w:rsidRDefault="00440F11" w:rsidP="00440F11">
      <w:pPr>
        <w:spacing w:before="120" w:after="120"/>
        <w:ind w:firstLine="357"/>
        <w:jc w:val="both"/>
        <w:rPr>
          <w:rFonts w:ascii="Arial" w:hAnsi="Arial" w:cs="Arial"/>
          <w:bCs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 xml:space="preserve">Pokud by návrh vyhlášky nereagoval na výše uvedený cíl, tak by docházelo k možným nesprávným interpretacím některých ustanovení vyhlášky č. 503/2002 Sb., kterou se provádějí některá ustanovení zákona č. 563/1991 Sb., o účetnictví, ve znění pozdějších předpisů, pro </w:t>
      </w:r>
      <w:r w:rsidRPr="00167CEE">
        <w:rPr>
          <w:rFonts w:ascii="Arial" w:hAnsi="Arial" w:cs="Arial"/>
          <w:bCs/>
          <w:sz w:val="22"/>
          <w:szCs w:val="22"/>
        </w:rPr>
        <w:t xml:space="preserve">zdravotní pojišťovny, ve znění pozdějších předpisů, (dále jen „vyhláška“). </w:t>
      </w:r>
    </w:p>
    <w:p w:rsidR="00440F11" w:rsidRPr="00167CEE" w:rsidRDefault="00440F11" w:rsidP="00440F11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Zachování stávajícího stavu není možné vzhledem k zákonu č. 221/2015 Sb. a návrhu vyhlášky č. 502/2002 Sb. Zachování stávajícího stavu by vyvolalo právní nejistotu dotčených účetních jednotek.</w:t>
      </w:r>
    </w:p>
    <w:p w:rsidR="00440F11" w:rsidRPr="00167CEE" w:rsidRDefault="00440F11" w:rsidP="00440F11">
      <w:pPr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>Dotčené subjekty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Dotčenými subjekty jsou zdravotní pojišťovny.</w:t>
      </w:r>
    </w:p>
    <w:p w:rsidR="00440F11" w:rsidRPr="00167CEE" w:rsidRDefault="00440F11" w:rsidP="00440F11">
      <w:pPr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Implementace a vynucování </w:t>
      </w:r>
    </w:p>
    <w:p w:rsidR="00440F11" w:rsidRPr="00167CEE" w:rsidRDefault="00440F11" w:rsidP="00440F11">
      <w:pPr>
        <w:pStyle w:val="Nadpis1"/>
        <w:keepNext w:val="0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Návrh vyhlášky neobsahuje sankce, účetní jednotky však při vedení nesprávného účetnictví podléhají sankcím podle § 37 zákona č. 563/1991 Sb., o účetnictví, ve znění pozdějších předpisů, (dále jen „zákon o účetnictví“).</w:t>
      </w:r>
    </w:p>
    <w:p w:rsidR="00440F11" w:rsidRPr="00167CEE" w:rsidRDefault="00440F11" w:rsidP="00440F11">
      <w:pPr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Zhodnocení souladu navrhované právní úpravy se zákonem, k jehož provedení je navržena, a zároveň zhodnocení souladu navrhované právní úpravy s předpisy </w:t>
      </w: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Evropské unie, judikaturou soudních orgánů Evropské unie a obecnými právními zásadami práva Evropské unie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Návrh vyhlášky je v souladu se zmocněním uvedeným</w:t>
      </w:r>
      <w:r w:rsid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v § 37b odst. 1 zákona o </w:t>
      </w: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účetnictví k provedení § 4 odst. 8 a § 24 odst. 5. Návrh vyhlášky je s tímto zmocněním plně v souladu. 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Návrh vyhlášky nesouvisí s oblastí čerpání prostř</w:t>
      </w:r>
      <w:r w:rsidR="00167CEE">
        <w:rPr>
          <w:rFonts w:ascii="Arial" w:hAnsi="Arial" w:cs="Arial"/>
          <w:b w:val="0"/>
          <w:bCs w:val="0"/>
          <w:color w:val="000000"/>
          <w:sz w:val="22"/>
          <w:szCs w:val="22"/>
        </w:rPr>
        <w:t>edků z rozpočtu Evropské unie a </w:t>
      </w: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ochrany finančních zájmů Evropské unie.  </w:t>
      </w:r>
    </w:p>
    <w:p w:rsidR="00440F11" w:rsidRPr="00167CEE" w:rsidRDefault="00440F11" w:rsidP="00440F11">
      <w:pPr>
        <w:pStyle w:val="Nadpis1"/>
        <w:keepNext w:val="0"/>
        <w:widowControl w:val="0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Mezinárodní smlouvy, jimiž je Česká republika vázána, ani judikatura Evropského soudu pro lidská práva, se na navrhovanou právní úpravu nevztahují. </w:t>
      </w:r>
    </w:p>
    <w:p w:rsidR="00440F11" w:rsidRPr="00167CEE" w:rsidRDefault="00440F11" w:rsidP="00440F11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Návrh vyhlášky není v rozporu s právem Evropské unie a judikaturou Soudního dvora Evropské unie.</w:t>
      </w:r>
    </w:p>
    <w:p w:rsidR="00440F11" w:rsidRPr="00167CEE" w:rsidRDefault="00440F11" w:rsidP="00440F11">
      <w:pPr>
        <w:widowControl w:val="0"/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>Předpokládaný hospodářský a finanční dopad navrhované právní úpravy na státní rozpočet, ostatní veřejné rozpočty a na podnikatelské prostředí v České republice, dále sociální dopady včetně dopadů na specifické skupiny obyvatel, zejména osoby sociálně slabé, osoby se zdravotním postižením a národnostní menšiny, a dopady na životní prostředí</w:t>
      </w:r>
    </w:p>
    <w:p w:rsidR="00440F11" w:rsidRPr="00167CEE" w:rsidRDefault="00440F11" w:rsidP="00CA2B22">
      <w:pPr>
        <w:pStyle w:val="Nadpis1"/>
        <w:keepNext w:val="0"/>
        <w:widowControl w:val="0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Návrh vyhlášky nepředpokládá dopad navrhované právní úpravy na státní rozpočet České republiky </w:t>
      </w:r>
      <w:r w:rsidR="00CA2B22"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 na ostatní veřejné rozpočty. </w:t>
      </w: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Návrh vyhlášky nepředpokládá hospodářský ani finanční dopad navrhované právní úpr</w:t>
      </w:r>
      <w:r w:rsidR="00CA2B22"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avy na podnikatelské prostředí. </w:t>
      </w: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Návrh vyhlášky nepředpokládá sociální dopady ani dopady na o</w:t>
      </w:r>
      <w:r w:rsidR="00167CEE">
        <w:rPr>
          <w:rFonts w:ascii="Arial" w:hAnsi="Arial" w:cs="Arial"/>
          <w:b w:val="0"/>
          <w:bCs w:val="0"/>
          <w:color w:val="000000"/>
          <w:sz w:val="22"/>
          <w:szCs w:val="22"/>
        </w:rPr>
        <w:t>soby se zdravotním postižením a </w:t>
      </w: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národnostní menšiny a ani dopady na životní prostředí.</w:t>
      </w:r>
    </w:p>
    <w:p w:rsidR="00440F11" w:rsidRPr="00167CEE" w:rsidRDefault="00440F11" w:rsidP="00440F11">
      <w:pPr>
        <w:widowControl w:val="0"/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>Zhodnocení současného stavu a dopadů navrhovaného řešení ve vztahu k zákazu diskriminace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Návrh vyhlášky nepředpokládá dopad na zákaz diskriminace ve smyslu zákona č. 198/2009 Sb., o rovném zacházení a o právních prostředcích ochrany před diskriminací a o změně některých zákonů (antidiskriminační zákon), ve znění pozdějších předpisů.</w:t>
      </w:r>
    </w:p>
    <w:p w:rsidR="00440F11" w:rsidRPr="00167CEE" w:rsidRDefault="00440F11" w:rsidP="00440F11">
      <w:pPr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>Zhodnocení dopadů navrhovaného řešení ve vztahu k ochraně soukromí a osobních údajů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Návrh vyhlášky nepřijímá žádná opatření, ve kterých by bylo možné spatřovat potenciální rizika ve vztahu k soukromí a ochraně osobních údajů. Návrh vyhlášky nepřijímá žádná opatření, která by zakládala nové zpracování osobních údajů či měnila již existující zpracování osobních údajů. 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>Návrh vyhlášky není v rozporu s Úmluvou o ochraně osob se zřetelem na automatizované zpracování osobních dat (vyhlášené pod č. 115/2001 Sb. m. s.), směrnicí Evropského parlamentu a Rady 95/46/ES ze dne 24. října 1995 o ochraně jednotlivců v souvislosti se zpracováním osobních údajů a o volném pohybu těchto údajů, ani se zákonem č. 101/2000 Sb., o ochraně osobních údajů a o změně některých zákonů, ve znění pozdějších předpisů.</w:t>
      </w:r>
    </w:p>
    <w:p w:rsidR="00440F11" w:rsidRPr="00167CEE" w:rsidRDefault="00440F11" w:rsidP="00440F11">
      <w:pPr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>Zhodnocení korupčních rizik</w:t>
      </w:r>
    </w:p>
    <w:p w:rsidR="00440F11" w:rsidRPr="00167CEE" w:rsidRDefault="00440F11" w:rsidP="00440F11">
      <w:pPr>
        <w:pStyle w:val="Nadpis1"/>
        <w:spacing w:before="120" w:after="120"/>
        <w:ind w:firstLine="357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167CE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Návrh vyhlášky nepředpokládá žádná korupční rizika. </w:t>
      </w:r>
    </w:p>
    <w:p w:rsidR="00440F11" w:rsidRPr="00167CEE" w:rsidRDefault="00440F11" w:rsidP="00440F11">
      <w:pPr>
        <w:spacing w:before="120" w:after="120"/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7CEE">
        <w:rPr>
          <w:rFonts w:ascii="Arial" w:hAnsi="Arial" w:cs="Arial"/>
          <w:b/>
          <w:color w:val="000000"/>
          <w:sz w:val="22"/>
          <w:szCs w:val="22"/>
          <w:u w:val="single"/>
        </w:rPr>
        <w:t>Vyjádření k RIA</w:t>
      </w:r>
    </w:p>
    <w:p w:rsidR="00440F11" w:rsidRPr="00167CEE" w:rsidRDefault="00440F11" w:rsidP="00440F11">
      <w:pPr>
        <w:spacing w:before="120" w:after="120"/>
        <w:ind w:firstLine="35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167CEE">
        <w:rPr>
          <w:rFonts w:ascii="Arial" w:hAnsi="Arial" w:cs="Arial"/>
          <w:color w:val="000000"/>
          <w:sz w:val="22"/>
          <w:szCs w:val="22"/>
        </w:rPr>
        <w:t>V souvislosti se zaslanou žádostí pod č.j. MF-39346/2015/5407 o povolení výjimky ze zpracování hodnocení dopadů regulace (RIA) k návrhu vyhlášky bylo rozhodnuto, že v případě návrhu vyhlášky nemusí být zpracováno hodnocení dopadů regulace (RIA), viz dopis ministra pro lidská práva, rovné příležitosti a legislativu Mgr. Jiřího Dienstbiera ze dne 16. září 2015 pod č.j. 14947/2015-OHR.</w:t>
      </w:r>
    </w:p>
    <w:p w:rsidR="00440F11" w:rsidRPr="00167CEE" w:rsidRDefault="00440F11" w:rsidP="00440F1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br w:type="page"/>
      </w:r>
      <w:r w:rsidRPr="00167CEE">
        <w:rPr>
          <w:rFonts w:ascii="Arial" w:hAnsi="Arial" w:cs="Arial"/>
          <w:b/>
          <w:bCs/>
          <w:sz w:val="22"/>
          <w:szCs w:val="22"/>
        </w:rPr>
        <w:lastRenderedPageBreak/>
        <w:t>Zvláštní část</w:t>
      </w:r>
    </w:p>
    <w:p w:rsidR="00440F11" w:rsidRPr="00167CEE" w:rsidRDefault="00440F11" w:rsidP="00440F11">
      <w:pPr>
        <w:jc w:val="both"/>
        <w:rPr>
          <w:rFonts w:ascii="Arial" w:hAnsi="Arial" w:cs="Arial"/>
          <w:b/>
          <w:sz w:val="22"/>
          <w:szCs w:val="22"/>
        </w:rPr>
      </w:pPr>
    </w:p>
    <w:p w:rsidR="00440F11" w:rsidRPr="00167CEE" w:rsidRDefault="00440F11" w:rsidP="00440F11">
      <w:pPr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Čl. I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bodům 1, 9, 10, 11, 12, 13, 14, 15, 17, 20 (nadpis části druhé, nadpis části třetí, nadpis části čtvrté, nadpis § 17, nadpis § 18, nadpis § 19, nadpis § 21, nadpis § 22, nadpis § 24, nadpis § 25):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Navrhuje se legislativně technická úprava zrušením nadbytečného textu v závorkách včetně závorek u nadpisů částí a paragrafů vyhlášky.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bodům 2, 6, 7, 8, 16, 33 (§ 4 odst. 3, § 10 odst. 6, § 12 odst. 5, § 12 odst. 6, § 23 odst. 1, Příloha č. 6):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 xml:space="preserve">Jedná se o legislativně technické úpravy v souvislosti se zákonem č. 221/2015 Sb. 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V případě Přílohy č. 6 se jedná o legislativně technické úpravy v souvislosti se zákonem č. 221/2015 Sb. a vyhlášky č. 293/2014 Sb., kterou se mění vyhláška č. 500/2002 Sb., kterou se provádějí některá ustanovení zákona č. 563/1991 Sb., o účetnictví, ve znění pozdějších předpisů, pro účetní jednotky, které jsou podnikateli účtujícími v soustavě podvojného účetnictví, ve znění pozdějších předpisů, (dále jen „vyhláška č. 293/2014 Sb.“).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bodům 3, 22, 23 až 28, 29 až 31 (§ 5 odst. 1, Příloha č. 1, Příloha č. 2, Příloha č. 3):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Zejména s ohledem na skutečnost, že pro obsahové vymezení položek výkazu zisku a ztráty zdravotní pojišťovny použijí přiměřeně ustanovení vyhlášky č. 502/2002 Sb., kterou se provádějí některá ustanovení zákona č. 563/1991 Sb., o účetnictví, ve znění pozdějších předpisů, pro účetní jednotky, které jsou pojišťovnami, ve znění pozdějších předpisů, je nezbytné provést legislativně technické úpravy v souvislosti s návrhem vyhlášky č. 502/2002 Sb., ve které jsou navrhovány terminologické změny v souladu se zákonem o pojišťovnictví (sněmovní tisk č. 414), kdy například termín „finanční umístění“ byl nahrazen termínem „investice“.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bodům 4, 5 (§ 8 odst. 2 písm. d), § 8 odst. 2 písm. e)):</w:t>
      </w:r>
    </w:p>
    <w:p w:rsidR="00440F11" w:rsidRPr="00167CEE" w:rsidRDefault="00440F11" w:rsidP="00440F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 xml:space="preserve">V rámci dopracování, zpřesnění a podrobnějšího popisu problematiky práva stavby ve vyhlášce č. 293/2014 Sb. a s ohledem na skutečnost, že v </w:t>
      </w:r>
      <w:r w:rsidRPr="00167CEE">
        <w:rPr>
          <w:rFonts w:ascii="Arial" w:hAnsi="Arial" w:cs="Arial"/>
          <w:color w:val="000000"/>
          <w:sz w:val="22"/>
          <w:szCs w:val="22"/>
        </w:rPr>
        <w:t xml:space="preserve">podrobnostech obsahového vymezení složek dlouhodobého hmotného majetku a v podrobnostech obsahového vymezení nákladů souvisejících s pořízením dlouhodobého majetku, zásob a cenných papírů použijí zdravotní pojišťovny přiměřeně ustanovení vyhlášky č. 500/2002 Sb., kterou se provádějí některá ustanovení zákona č. 563/1991 Sb., o účetnictví, ve znění pozdějších předpisů, pro účetní jednotky, které jsou podnikateli účtujícími v soustavě podvojného účetnictví, ve znění pozdějších předpisů, </w:t>
      </w:r>
      <w:r w:rsidRPr="00167CEE">
        <w:rPr>
          <w:rFonts w:ascii="Arial" w:hAnsi="Arial" w:cs="Arial"/>
          <w:sz w:val="22"/>
          <w:szCs w:val="22"/>
        </w:rPr>
        <w:t>se navrhuje sledovat odděleně samotné „právo stavby“ a „stavbu“. Vychází se z úvahy, že právo stavby je specifickým hmotným aktivem, které lze pro účely účetnictví účtovat a odpisovat samostatně (tedy samostatně od stavby), ale vykazovat ho společně se stavbou v rámci položky „C.I.2 Stavby“.</w:t>
      </w:r>
    </w:p>
    <w:p w:rsidR="00440F11" w:rsidRPr="00167CEE" w:rsidRDefault="00440F11" w:rsidP="00440F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Navrhuje se za účelem zjednodušení, aby právo stavby bez ohledu na záměr jeho pořízení bylo vykazováno v položce „C.I.2. Stavby“. Tímto není dotčena možnost vykazovat právo stavby i v zásobách, bude-li to odpovídat obsahovému vymezení této položky. Podrobnější zdůvodnění úpravy práva stavby je uvedeno v odůvodnění k vyhlášce č. 293/2014 Sb.</w:t>
      </w:r>
    </w:p>
    <w:p w:rsidR="00440F11" w:rsidRPr="00167CEE" w:rsidRDefault="00440F11" w:rsidP="00440F11">
      <w:pPr>
        <w:jc w:val="both"/>
        <w:rPr>
          <w:rFonts w:ascii="Arial" w:hAnsi="Arial" w:cs="Arial"/>
          <w:sz w:val="22"/>
          <w:szCs w:val="22"/>
        </w:rPr>
      </w:pP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lastRenderedPageBreak/>
        <w:t>K bodu 18 (§ 24 odst. 3):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 xml:space="preserve">Navrhuje se v návaznosti na nový občanský zákoník zpřesnění stávajícího textu ustanovení § 24 odst. 3 vyhlášky. 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bodu 19 (§ 24 odst. 4):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 xml:space="preserve">Navrhuje se v souvislosti se zákonem č. 221/2015 Sb. (novelizované ustanovení § 7 odst. 6 zákona o účetnictví) omezit informace o vzájemném zúčtování uváděné v příloze v účetní závěrce s ohledem na významnost. 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 xml:space="preserve">K bodu 21 (§ 25a odst. 1): 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Jedná se o legislativně technickou úpravu, kdy v ustanovení § 25a vyhlášky týkajícího se účetní metody oceňování je uvedeno obsahové vymezení podmíněných aktiv a pasiv, přičemž obsahové vymezení informací o skutečnostech na podrozvahových účtech je uvedeno v ustanovení § 12a odst. 3 vyhlášky. Dále s ohledem na skutečnost, že uspořádání a označování položek části „A.4. Informace podle § 7 odst. 5 zákona o stavu účtů v knize podrozvahových účtů“ přílohy v účetní závěrce pro zdravotní pojišťovny není totožné s označováním a uspořádáním položek části „A.4. Infor</w:t>
      </w:r>
      <w:r w:rsidR="00167CEE">
        <w:rPr>
          <w:rFonts w:ascii="Arial" w:hAnsi="Arial" w:cs="Arial"/>
          <w:sz w:val="22"/>
          <w:szCs w:val="22"/>
        </w:rPr>
        <w:t>mace podle § 7 odst. 5 zákona o </w:t>
      </w:r>
      <w:r w:rsidRPr="00167CEE">
        <w:rPr>
          <w:rFonts w:ascii="Arial" w:hAnsi="Arial" w:cs="Arial"/>
          <w:sz w:val="22"/>
          <w:szCs w:val="22"/>
        </w:rPr>
        <w:t>stavu účtů v knize podrozvahových účtů“ přílohy v účetní závěrce pro některé vybrané účetní jednotky, nelze striktně dodržet obsahové vymezení podmíněných aktiv a pasiv podle vyhlášky č. 410/2009 Sb., kterou se provádějí některá ustanovení zákona č. 563/1991 Sb., o účetnictví, ve znění pozdějších předpisů, pro některé vybrané účetní jednotky, ve znění pozdějších předpisů.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bodu 32 (Příloha č. 3):</w:t>
      </w:r>
    </w:p>
    <w:p w:rsidR="00440F11" w:rsidRPr="00167CEE" w:rsidRDefault="00440F11" w:rsidP="00440F11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V tomto bodu se navrhuje terminologická změna z „hospodářského výsledku“ na „výsledek hospodaření“.</w:t>
      </w:r>
    </w:p>
    <w:p w:rsidR="00440F11" w:rsidRPr="00167CEE" w:rsidRDefault="00440F11" w:rsidP="00440F11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Čl. II</w:t>
      </w:r>
    </w:p>
    <w:p w:rsidR="00440F11" w:rsidRPr="00167CEE" w:rsidRDefault="00440F11" w:rsidP="00440F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Navrhovaná ustanovení použijí vybrané účetní jednotky poprvé v účetním období započatém dne 1. ledna 2016 a později.</w:t>
      </w:r>
    </w:p>
    <w:p w:rsidR="00440F11" w:rsidRPr="00167CEE" w:rsidRDefault="00440F11" w:rsidP="00440F11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7CEE">
        <w:rPr>
          <w:rFonts w:ascii="Arial" w:hAnsi="Arial" w:cs="Arial"/>
          <w:b/>
          <w:sz w:val="22"/>
          <w:szCs w:val="22"/>
        </w:rPr>
        <w:t>K Čl. III</w:t>
      </w:r>
    </w:p>
    <w:p w:rsidR="00440F11" w:rsidRPr="00167CEE" w:rsidRDefault="00440F11" w:rsidP="00440F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7CEE">
        <w:rPr>
          <w:rFonts w:ascii="Arial" w:hAnsi="Arial" w:cs="Arial"/>
          <w:sz w:val="22"/>
          <w:szCs w:val="22"/>
        </w:rPr>
        <w:t>Účinnost vyhlášky je navrhována dnem 1. ledna 2016.</w:t>
      </w:r>
    </w:p>
    <w:p w:rsidR="00F915A2" w:rsidRPr="00167CEE" w:rsidRDefault="00F915A2" w:rsidP="00440F11">
      <w:pPr>
        <w:rPr>
          <w:rFonts w:ascii="Arial" w:hAnsi="Arial" w:cs="Arial"/>
          <w:sz w:val="22"/>
          <w:szCs w:val="22"/>
        </w:rPr>
      </w:pPr>
    </w:p>
    <w:sectPr w:rsidR="00F915A2" w:rsidRPr="00167CEE" w:rsidSect="00AE656A">
      <w:footerReference w:type="default" r:id="rId8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B8" w:rsidRDefault="00AD27B8">
      <w:r>
        <w:separator/>
      </w:r>
    </w:p>
  </w:endnote>
  <w:endnote w:type="continuationSeparator" w:id="0">
    <w:p w:rsidR="00AD27B8" w:rsidRDefault="00AD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5BF" w:rsidRDefault="00EB596A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716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B8" w:rsidRDefault="00AD27B8">
      <w:r>
        <w:separator/>
      </w:r>
    </w:p>
  </w:footnote>
  <w:footnote w:type="continuationSeparator" w:id="0">
    <w:p w:rsidR="00AD27B8" w:rsidRDefault="00AD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D796D"/>
    <w:multiLevelType w:val="hybridMultilevel"/>
    <w:tmpl w:val="397A8A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6A"/>
    <w:rsid w:val="00024B2C"/>
    <w:rsid w:val="00120B69"/>
    <w:rsid w:val="00167CEE"/>
    <w:rsid w:val="001D71BB"/>
    <w:rsid w:val="00220607"/>
    <w:rsid w:val="003716D4"/>
    <w:rsid w:val="003B7801"/>
    <w:rsid w:val="00434110"/>
    <w:rsid w:val="00440F11"/>
    <w:rsid w:val="006C1D67"/>
    <w:rsid w:val="007F1D9A"/>
    <w:rsid w:val="008247DA"/>
    <w:rsid w:val="00915841"/>
    <w:rsid w:val="00AA1F8F"/>
    <w:rsid w:val="00AD27B8"/>
    <w:rsid w:val="00AE656A"/>
    <w:rsid w:val="00CA2B22"/>
    <w:rsid w:val="00EB596A"/>
    <w:rsid w:val="00F9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596A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59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B59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59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B5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596A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59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B59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59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B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1526</Words>
  <Characters>9010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Kortanová Nikola Bc.</dc:creator>
  <cp:lastModifiedBy>KACR - Pavla Psenickova</cp:lastModifiedBy>
  <cp:revision>2</cp:revision>
  <cp:lastPrinted>2015-09-23T15:24:00Z</cp:lastPrinted>
  <dcterms:created xsi:type="dcterms:W3CDTF">2015-10-06T06:06:00Z</dcterms:created>
  <dcterms:modified xsi:type="dcterms:W3CDTF">2015-10-06T06:06:00Z</dcterms:modified>
</cp:coreProperties>
</file>