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6A" w:rsidRPr="00BB4AA2" w:rsidRDefault="00220607" w:rsidP="00BB4AA2">
      <w:pPr>
        <w:spacing w:after="60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B4AA2">
        <w:rPr>
          <w:rFonts w:ascii="Arial" w:hAnsi="Arial" w:cs="Arial"/>
          <w:b/>
          <w:sz w:val="22"/>
          <w:szCs w:val="22"/>
        </w:rPr>
        <w:t>III.</w:t>
      </w:r>
    </w:p>
    <w:p w:rsidR="00EB596A" w:rsidRPr="0057578A" w:rsidRDefault="003F4516" w:rsidP="00BB4AA2">
      <w:pPr>
        <w:spacing w:after="600"/>
        <w:jc w:val="center"/>
      </w:pPr>
      <w:r>
        <w:rPr>
          <w:rFonts w:ascii="Arial" w:hAnsi="Arial" w:cs="Arial"/>
          <w:b/>
          <w:szCs w:val="22"/>
        </w:rPr>
        <w:t>ODŮVODNĚNÍ</w:t>
      </w:r>
    </w:p>
    <w:p w:rsidR="00EB596A" w:rsidRPr="00BB4AA2" w:rsidRDefault="00EB596A" w:rsidP="00EB59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4AA2">
        <w:rPr>
          <w:rFonts w:ascii="Arial" w:hAnsi="Arial" w:cs="Arial"/>
          <w:b/>
          <w:bCs/>
          <w:sz w:val="22"/>
          <w:szCs w:val="22"/>
        </w:rPr>
        <w:t>Obecná část</w:t>
      </w:r>
    </w:p>
    <w:p w:rsidR="00EB596A" w:rsidRPr="00BB4AA2" w:rsidRDefault="00EB596A" w:rsidP="00EB596A">
      <w:pPr>
        <w:jc w:val="both"/>
        <w:rPr>
          <w:rFonts w:ascii="Arial" w:hAnsi="Arial" w:cs="Arial"/>
          <w:sz w:val="22"/>
          <w:szCs w:val="22"/>
        </w:rPr>
      </w:pP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Název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vyhlášky, kterou se mění vyhláška č. 270/2010 Sb., </w:t>
      </w:r>
      <w:r w:rsidR="00220607"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o inventarizaci majetku a </w:t>
      </w: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závazků, (dále jen „návrh vyhlášky“).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Vysvětlení nezbytnosti navrhované právní úpravy identifikací problémů, cílů, kterých má být dosaženo</w:t>
      </w:r>
      <w:r w:rsidR="00220607"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,</w:t>
      </w: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a rizik spojených s nečinností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Důvodem předložení návrhu vyhlášky jsou změny </w:t>
      </w:r>
      <w:r w:rsidRPr="00BB4AA2">
        <w:rPr>
          <w:rFonts w:ascii="Arial" w:hAnsi="Arial" w:cs="Arial"/>
          <w:b w:val="0"/>
          <w:sz w:val="22"/>
          <w:szCs w:val="22"/>
        </w:rPr>
        <w:t>legislativně technického charakteru související se zajištěním souladu se zákonem č. 563/1991 Sb., o účetnictví, ve znění pozdějších předpisů, (dále jen „zákon o účetnictví“)</w:t>
      </w:r>
      <w:r w:rsidRPr="00BB4AA2">
        <w:rPr>
          <w:rFonts w:ascii="Arial" w:hAnsi="Arial" w:cs="Arial"/>
          <w:sz w:val="22"/>
          <w:szCs w:val="22"/>
        </w:rPr>
        <w:t xml:space="preserve"> </w:t>
      </w:r>
      <w:r w:rsidRPr="00BB4AA2">
        <w:rPr>
          <w:rFonts w:ascii="Arial" w:hAnsi="Arial" w:cs="Arial"/>
          <w:b w:val="0"/>
          <w:sz w:val="22"/>
          <w:szCs w:val="22"/>
        </w:rPr>
        <w:t xml:space="preserve">a související se </w:t>
      </w:r>
      <w:r w:rsidR="006C1D67" w:rsidRPr="00BB4AA2">
        <w:rPr>
          <w:rFonts w:ascii="Arial" w:hAnsi="Arial" w:cs="Arial"/>
          <w:b w:val="0"/>
          <w:color w:val="000000"/>
          <w:sz w:val="22"/>
          <w:szCs w:val="22"/>
        </w:rPr>
        <w:t>zajištěním souladu se zákonem</w:t>
      </w:r>
      <w:r w:rsidR="006C1D67" w:rsidRPr="00BB4AA2">
        <w:rPr>
          <w:rFonts w:ascii="Arial" w:hAnsi="Arial" w:cs="Arial"/>
          <w:sz w:val="22"/>
          <w:szCs w:val="22"/>
        </w:rPr>
        <w:t xml:space="preserve"> </w:t>
      </w:r>
      <w:r w:rsidR="006C1D67" w:rsidRPr="00BB4AA2">
        <w:rPr>
          <w:rFonts w:ascii="Arial" w:hAnsi="Arial" w:cs="Arial"/>
          <w:b w:val="0"/>
          <w:color w:val="000000"/>
          <w:sz w:val="22"/>
          <w:szCs w:val="22"/>
        </w:rPr>
        <w:t xml:space="preserve">č. 221/2015 Sb., kterým se mění zákon č. 563/1991 Sb., o účetnictví, ve znění pozdějších předpisů, a některé další zákony, (dále jen „zákon č. 221/2015 Sb.“) 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který především provádí dokončení transpozice směrnice Evropského parlamentu</w:t>
      </w:r>
      <w:r w:rsidR="00220607" w:rsidRPr="00BB4AA2">
        <w:rPr>
          <w:rFonts w:ascii="Arial" w:hAnsi="Arial" w:cs="Arial"/>
          <w:b w:val="0"/>
          <w:color w:val="000000"/>
          <w:sz w:val="22"/>
          <w:szCs w:val="22"/>
        </w:rPr>
        <w:t xml:space="preserve"> a Rady 2013/34/EU ze dne 26. 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června 2013 o ročních účetních závěrkách, konso</w:t>
      </w:r>
      <w:r w:rsidR="00220607" w:rsidRPr="00BB4AA2">
        <w:rPr>
          <w:rFonts w:ascii="Arial" w:hAnsi="Arial" w:cs="Arial"/>
          <w:b w:val="0"/>
          <w:color w:val="000000"/>
          <w:sz w:val="22"/>
          <w:szCs w:val="22"/>
        </w:rPr>
        <w:t>lidovaných účetních závěrkách a 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souvisejících zprávách některých forem podniků, o změně směrnic Evropského parlamentu a Rady 2006/43/ES a o zr</w:t>
      </w:r>
      <w:r w:rsidR="00BB4AA2">
        <w:rPr>
          <w:rFonts w:ascii="Arial" w:hAnsi="Arial" w:cs="Arial"/>
          <w:b w:val="0"/>
          <w:color w:val="000000"/>
          <w:sz w:val="22"/>
          <w:szCs w:val="22"/>
        </w:rPr>
        <w:t>ušení směrnic Rady 78/660/EHS a 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83/349/EHS.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Cílem předložení návrhu vyhlášky je posílení právní jistoty vybraných účetních jednotek, a to v souvislosti se zajištěním souladu</w:t>
      </w:r>
      <w:r w:rsidRPr="00BB4AA2">
        <w:rPr>
          <w:rFonts w:ascii="Arial" w:hAnsi="Arial" w:cs="Arial"/>
          <w:b w:val="0"/>
          <w:sz w:val="22"/>
          <w:szCs w:val="22"/>
        </w:rPr>
        <w:t xml:space="preserve"> se zákonem o účetnictví</w:t>
      </w:r>
      <w:r w:rsidRPr="00BB4AA2">
        <w:rPr>
          <w:rFonts w:ascii="Arial" w:hAnsi="Arial" w:cs="Arial"/>
          <w:sz w:val="22"/>
          <w:szCs w:val="22"/>
        </w:rPr>
        <w:t xml:space="preserve"> </w:t>
      </w:r>
      <w:r w:rsidRPr="00BB4AA2">
        <w:rPr>
          <w:rFonts w:ascii="Arial" w:hAnsi="Arial" w:cs="Arial"/>
          <w:b w:val="0"/>
          <w:sz w:val="22"/>
          <w:szCs w:val="22"/>
        </w:rPr>
        <w:t xml:space="preserve">a </w:t>
      </w:r>
      <w:r w:rsidRPr="00BB4AA2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3B7801" w:rsidRPr="00BB4AA2">
        <w:rPr>
          <w:rFonts w:ascii="Arial" w:hAnsi="Arial" w:cs="Arial"/>
          <w:b w:val="0"/>
          <w:color w:val="000000"/>
          <w:sz w:val="22"/>
          <w:szCs w:val="22"/>
        </w:rPr>
        <w:t>e zákonem č. 221/2015 Sb</w:t>
      </w: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:rsidR="00EB596A" w:rsidRPr="00BB4AA2" w:rsidRDefault="00EB596A" w:rsidP="00EB596A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>Pokud by návrh vyhlášky nereagoval na výše uvedený cíl, tak by docházelo k možným nesprávným interpretacím některých ustanovení vyhlášky č. 270/2010 Sb., o inventarizaci majetku a závazků.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Dotčené subjekty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Dotčenými subjekty budou vybrané účetní jednotky podle zákona o účetnictví.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Implementace a vynucování </w:t>
      </w:r>
    </w:p>
    <w:p w:rsidR="00EB596A" w:rsidRPr="00BB4AA2" w:rsidRDefault="00EB596A" w:rsidP="00EB596A">
      <w:pPr>
        <w:pStyle w:val="Nadpis1"/>
        <w:keepNext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neobsahuje sankce, účetní jednotky však při vedení nesprávného účetnictví podléhají sankcím podle § 37 zákona o účetnictví.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Zhodnocení souladu navrhované právní úpravy se zákonem, k jehož provedení je navržena, a zároveň zhodnocení souladu navrhované právní úpravy s předpisy Evropské unie, judikaturou soudních orgánů Evropské unie a obecnými právními zásadami práva Evropské unie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je v souladu se zmocněním uv</w:t>
      </w:r>
      <w:r w:rsidR="00BB4AA2">
        <w:rPr>
          <w:rFonts w:ascii="Arial" w:hAnsi="Arial" w:cs="Arial"/>
          <w:b w:val="0"/>
          <w:bCs w:val="0"/>
          <w:color w:val="000000"/>
          <w:sz w:val="22"/>
          <w:szCs w:val="22"/>
        </w:rPr>
        <w:t>edeným v § 37b odst. 1 zákona o </w:t>
      </w: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účetnictví k provedení § 4 odst. 8, § 29 odst. 4 a § 30 odst. 9. Návrh vyhlášky je s tímto zmocněním plně v souladu. 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nesouvisí s oblastí čerpání prostředků z rozpočtu Evropské u</w:t>
      </w:r>
      <w:r w:rsid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nie a </w:t>
      </w: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ochrany finančních zájmů Evropské unie.  </w:t>
      </w:r>
    </w:p>
    <w:p w:rsidR="00EB596A" w:rsidRPr="00BB4AA2" w:rsidRDefault="00EB596A" w:rsidP="00EB596A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Mezinárodní smlouvy, jimiž je Česká republika vázána, ani judikatura Evropského soudu pro lidská práva, se na navrhovanou právní úpravu nevztahují. </w:t>
      </w:r>
    </w:p>
    <w:p w:rsidR="006C1D67" w:rsidRPr="00BB4AA2" w:rsidRDefault="006C1D67" w:rsidP="006C1D67">
      <w:pPr>
        <w:ind w:firstLine="357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>Návrh vyhlášky není v rozporu s právem Evropské unie a judikaturou Soudního dvora Evropské unie.</w:t>
      </w:r>
    </w:p>
    <w:p w:rsidR="00EB596A" w:rsidRPr="00BB4AA2" w:rsidRDefault="00EB596A" w:rsidP="001D71BB">
      <w:pPr>
        <w:keepNext/>
        <w:widowControl w:val="0"/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Předpokládaný hospodářský a finanční dopad navrhované právní úpravy na státní rozpočet, ostatní veřejné rozpočty a na podnikatelské prostředí v České republice, </w:t>
      </w: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dále sociální dopady včetně dopadů na specifické skupiny obyvatel, zejména osoby sociálně slabé, osoby se zdravotním postižením a národnostní menšiny, a dopady na životní prostředí</w:t>
      </w:r>
    </w:p>
    <w:p w:rsidR="00EB596A" w:rsidRPr="00BB4AA2" w:rsidRDefault="00EB596A" w:rsidP="00EB596A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nepředpokládá dopad navrhované právní úpravy na státní rozpočet České republiky a na ostatní veřejné rozpočty.  </w:t>
      </w:r>
    </w:p>
    <w:p w:rsidR="00EB596A" w:rsidRPr="00BB4AA2" w:rsidRDefault="00EB596A" w:rsidP="00EB596A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nepředpokládá hospodářský ani finanční dopad navrhované právní úpravy na podnikatelské prostředí. </w:t>
      </w:r>
    </w:p>
    <w:p w:rsidR="00EB596A" w:rsidRPr="00BB4AA2" w:rsidRDefault="00EB596A" w:rsidP="00EB596A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nepředpokládá sociální dopady ani dopady na osoby se zdravotním postižením a národnostní menšiny a ani dopady na životní prostředí.</w:t>
      </w:r>
    </w:p>
    <w:p w:rsidR="00EB596A" w:rsidRPr="00BB4AA2" w:rsidRDefault="00EB596A" w:rsidP="00EB596A">
      <w:pPr>
        <w:widowControl w:val="0"/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Zhodnocení současného stavu a dopadů navrhovaného řešení ve vztahu k zákazu diskriminace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nepředpokládá dopad na zákaz diskriminace ve smyslu zákona č. 198/2009 Sb., o rovném zacházení a o právních prostředcích ochrany před diskriminací a o změně některých zákonů (antidiskriminační zákon), ve znění pozdějších předpisů.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Zhodnocení dopadů navrhovaného řešení ve vztahu k ochraně soukromí a osobních údajů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nepřijímá žádná opatření, ve kterých by bylo možné spatřovat potenciální rizika ve vztahu k soukromí a ochraně osobních údajů. Návrh vyhlášky nepřijímá žádná opatření, která by zakládala nové zpracování osobních údajů či měnila již existující zpracování osobních údajů. 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není v rozporu s Úmluvou o ochraně osob se zřetelem na automatizované zpracování osobních dat (vyhlášené pod č. 115/2001 Sb. m. s.), směrnicí Evropského parlamentu a Rady 95/46/ES ze dne 24. října 1995 o ochraně jednotlivců v souvislosti se zpracováním osobních údajů a o volném pohybu těchto úd</w:t>
      </w:r>
      <w:r w:rsidR="00220607"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ajů, ani se zákonem č. 101/2000 </w:t>
      </w: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>Sb., o ochraně osobních údajů a o změně některých zákonů, ve znění pozdějších předpisů.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Zhodnocení korupčních rizik</w:t>
      </w:r>
    </w:p>
    <w:p w:rsidR="00EB596A" w:rsidRPr="00BB4AA2" w:rsidRDefault="00EB596A" w:rsidP="00EB596A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B4AA2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Návrh vyhlášky nepředpokládá žádná korupční rizika. </w:t>
      </w:r>
    </w:p>
    <w:p w:rsidR="00EB596A" w:rsidRPr="00BB4AA2" w:rsidRDefault="00EB596A" w:rsidP="00EB596A">
      <w:pPr>
        <w:spacing w:before="120"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4AA2">
        <w:rPr>
          <w:rFonts w:ascii="Arial" w:hAnsi="Arial" w:cs="Arial"/>
          <w:b/>
          <w:color w:val="000000"/>
          <w:sz w:val="22"/>
          <w:szCs w:val="22"/>
          <w:u w:val="single"/>
        </w:rPr>
        <w:t>Vyjádření k RIA</w:t>
      </w:r>
    </w:p>
    <w:p w:rsidR="00EB596A" w:rsidRPr="00BB4AA2" w:rsidRDefault="006C1D67" w:rsidP="006C1D67">
      <w:pPr>
        <w:spacing w:before="120" w:after="120"/>
        <w:ind w:firstLine="35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BB4AA2">
        <w:rPr>
          <w:rFonts w:ascii="Arial" w:hAnsi="Arial" w:cs="Arial"/>
          <w:color w:val="000000"/>
          <w:sz w:val="22"/>
          <w:szCs w:val="22"/>
        </w:rPr>
        <w:t xml:space="preserve">V souvislosti se zaslanou žádostí pod č.j. </w:t>
      </w:r>
      <w:r w:rsidR="00915841" w:rsidRPr="00BB4AA2">
        <w:rPr>
          <w:rFonts w:ascii="Arial" w:hAnsi="Arial" w:cs="Arial"/>
          <w:color w:val="000000"/>
          <w:sz w:val="22"/>
          <w:szCs w:val="22"/>
        </w:rPr>
        <w:t>MF-39346/2015/540</w:t>
      </w:r>
      <w:r w:rsidRPr="00BB4AA2">
        <w:rPr>
          <w:rFonts w:ascii="Arial" w:hAnsi="Arial" w:cs="Arial"/>
          <w:color w:val="000000"/>
          <w:sz w:val="22"/>
          <w:szCs w:val="22"/>
        </w:rPr>
        <w:t>7 o povolení výjimky ze zpracování hodnocení dopadů regulace (RIA) k návrhu vyhlášky bylo rozhodnuto, že v případě návrhu vyhlášky nemusí být zpracováno hodnocení dopadů regulace (RIA), viz dopis ministra pro lidská práva, rovné příležitosti a legislativu</w:t>
      </w:r>
      <w:r w:rsidR="00024B2C" w:rsidRPr="00BB4AA2">
        <w:rPr>
          <w:rFonts w:ascii="Arial" w:hAnsi="Arial" w:cs="Arial"/>
          <w:color w:val="000000"/>
          <w:sz w:val="22"/>
          <w:szCs w:val="22"/>
        </w:rPr>
        <w:t xml:space="preserve"> Mgr. Jiřího Dienstbiera ze dne </w:t>
      </w:r>
      <w:r w:rsidRPr="00BB4AA2">
        <w:rPr>
          <w:rFonts w:ascii="Arial" w:hAnsi="Arial" w:cs="Arial"/>
          <w:color w:val="000000"/>
          <w:sz w:val="22"/>
          <w:szCs w:val="22"/>
        </w:rPr>
        <w:t>16. září 2015 pod č.j. 149</w:t>
      </w:r>
      <w:r w:rsidR="00024B2C" w:rsidRPr="00BB4AA2">
        <w:rPr>
          <w:rFonts w:ascii="Arial" w:hAnsi="Arial" w:cs="Arial"/>
          <w:color w:val="000000"/>
          <w:sz w:val="22"/>
          <w:szCs w:val="22"/>
        </w:rPr>
        <w:t>51</w:t>
      </w:r>
      <w:r w:rsidRPr="00BB4AA2">
        <w:rPr>
          <w:rFonts w:ascii="Arial" w:hAnsi="Arial" w:cs="Arial"/>
          <w:color w:val="000000"/>
          <w:sz w:val="22"/>
          <w:szCs w:val="22"/>
        </w:rPr>
        <w:t>/2015-OHR.</w:t>
      </w:r>
    </w:p>
    <w:p w:rsidR="00EB596A" w:rsidRPr="00BB4AA2" w:rsidRDefault="00EB596A" w:rsidP="00EB596A">
      <w:pPr>
        <w:rPr>
          <w:rFonts w:ascii="Arial" w:hAnsi="Arial" w:cs="Arial"/>
          <w:sz w:val="22"/>
          <w:szCs w:val="22"/>
        </w:rPr>
      </w:pPr>
    </w:p>
    <w:p w:rsidR="00EB596A" w:rsidRPr="00BB4AA2" w:rsidRDefault="00EB596A" w:rsidP="00EB59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4AA2">
        <w:rPr>
          <w:rFonts w:ascii="Arial" w:hAnsi="Arial" w:cs="Arial"/>
          <w:b/>
          <w:sz w:val="22"/>
          <w:szCs w:val="22"/>
        </w:rPr>
        <w:br w:type="page"/>
      </w:r>
      <w:r w:rsidRPr="00BB4AA2">
        <w:rPr>
          <w:rFonts w:ascii="Arial" w:hAnsi="Arial" w:cs="Arial"/>
          <w:b/>
          <w:bCs/>
          <w:sz w:val="22"/>
          <w:szCs w:val="22"/>
        </w:rPr>
        <w:lastRenderedPageBreak/>
        <w:t>Zvláštní část</w:t>
      </w:r>
    </w:p>
    <w:p w:rsidR="00EB596A" w:rsidRPr="00BB4AA2" w:rsidRDefault="00EB596A" w:rsidP="00EB596A">
      <w:pPr>
        <w:jc w:val="both"/>
        <w:rPr>
          <w:rFonts w:ascii="Arial" w:hAnsi="Arial" w:cs="Arial"/>
          <w:b/>
          <w:sz w:val="22"/>
          <w:szCs w:val="22"/>
        </w:rPr>
      </w:pPr>
    </w:p>
    <w:p w:rsidR="00EB596A" w:rsidRPr="00BB4AA2" w:rsidRDefault="00EB596A" w:rsidP="00EB596A">
      <w:pPr>
        <w:jc w:val="both"/>
        <w:rPr>
          <w:rFonts w:ascii="Arial" w:hAnsi="Arial" w:cs="Arial"/>
          <w:b/>
          <w:sz w:val="22"/>
          <w:szCs w:val="22"/>
        </w:rPr>
      </w:pPr>
      <w:r w:rsidRPr="00BB4AA2">
        <w:rPr>
          <w:rFonts w:ascii="Arial" w:hAnsi="Arial" w:cs="Arial"/>
          <w:b/>
          <w:sz w:val="22"/>
          <w:szCs w:val="22"/>
        </w:rPr>
        <w:t>K Čl. I</w:t>
      </w:r>
    </w:p>
    <w:p w:rsidR="00EB596A" w:rsidRPr="00BB4AA2" w:rsidRDefault="00EB596A" w:rsidP="00EB596A">
      <w:pPr>
        <w:jc w:val="both"/>
        <w:rPr>
          <w:rFonts w:ascii="Arial" w:hAnsi="Arial" w:cs="Arial"/>
          <w:sz w:val="22"/>
          <w:szCs w:val="22"/>
        </w:rPr>
      </w:pPr>
    </w:p>
    <w:p w:rsidR="00EB596A" w:rsidRPr="00BB4AA2" w:rsidRDefault="00EB596A" w:rsidP="00EB596A">
      <w:pPr>
        <w:jc w:val="both"/>
        <w:rPr>
          <w:rFonts w:ascii="Arial" w:hAnsi="Arial" w:cs="Arial"/>
          <w:b/>
          <w:sz w:val="22"/>
          <w:szCs w:val="22"/>
        </w:rPr>
      </w:pPr>
      <w:r w:rsidRPr="00BB4AA2">
        <w:rPr>
          <w:rFonts w:ascii="Arial" w:hAnsi="Arial" w:cs="Arial"/>
          <w:b/>
          <w:sz w:val="22"/>
          <w:szCs w:val="22"/>
        </w:rPr>
        <w:t>K bodům 1, 2, 3, 4 (§ 2 psím. d), § 3 odst. 4 písm. a), § 8 odst. 2, § 8 odst. 2 písm. j)):</w:t>
      </w:r>
    </w:p>
    <w:p w:rsidR="00EB596A" w:rsidRPr="00BB4AA2" w:rsidRDefault="00EB596A" w:rsidP="00EB596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 xml:space="preserve">Jedná se o legislativně technické úpravy v souvislosti se </w:t>
      </w:r>
      <w:r w:rsidR="00220607" w:rsidRPr="00BB4AA2">
        <w:rPr>
          <w:rFonts w:ascii="Arial" w:hAnsi="Arial" w:cs="Arial"/>
          <w:sz w:val="22"/>
          <w:szCs w:val="22"/>
        </w:rPr>
        <w:t>zajištěním souladu se zákonem o </w:t>
      </w:r>
      <w:r w:rsidRPr="00BB4AA2">
        <w:rPr>
          <w:rFonts w:ascii="Arial" w:hAnsi="Arial" w:cs="Arial"/>
          <w:sz w:val="22"/>
          <w:szCs w:val="22"/>
        </w:rPr>
        <w:t>účetnictví a s</w:t>
      </w:r>
      <w:r w:rsidR="006C1D67" w:rsidRPr="00BB4AA2">
        <w:rPr>
          <w:rFonts w:ascii="Arial" w:hAnsi="Arial" w:cs="Arial"/>
          <w:sz w:val="22"/>
          <w:szCs w:val="22"/>
        </w:rPr>
        <w:t>e</w:t>
      </w:r>
      <w:r w:rsidRPr="00BB4AA2">
        <w:rPr>
          <w:rFonts w:ascii="Arial" w:hAnsi="Arial" w:cs="Arial"/>
          <w:sz w:val="22"/>
          <w:szCs w:val="22"/>
        </w:rPr>
        <w:t xml:space="preserve"> </w:t>
      </w:r>
      <w:r w:rsidR="006C1D67" w:rsidRPr="00BB4AA2">
        <w:rPr>
          <w:rFonts w:ascii="Arial" w:hAnsi="Arial" w:cs="Arial"/>
          <w:color w:val="000000"/>
          <w:sz w:val="22"/>
          <w:szCs w:val="22"/>
        </w:rPr>
        <w:t>zákonem č. 221/2015 Sb.</w:t>
      </w:r>
    </w:p>
    <w:p w:rsidR="00EB596A" w:rsidRPr="00BB4AA2" w:rsidRDefault="00EB596A" w:rsidP="00EB596A">
      <w:pPr>
        <w:jc w:val="both"/>
        <w:rPr>
          <w:rFonts w:ascii="Arial" w:hAnsi="Arial" w:cs="Arial"/>
          <w:b/>
          <w:sz w:val="22"/>
          <w:szCs w:val="22"/>
        </w:rPr>
      </w:pPr>
    </w:p>
    <w:p w:rsidR="00EB596A" w:rsidRPr="00BB4AA2" w:rsidRDefault="00EB596A" w:rsidP="00EB596A">
      <w:pPr>
        <w:jc w:val="both"/>
        <w:rPr>
          <w:rFonts w:ascii="Arial" w:hAnsi="Arial" w:cs="Arial"/>
          <w:b/>
          <w:sz w:val="22"/>
          <w:szCs w:val="22"/>
        </w:rPr>
      </w:pPr>
      <w:r w:rsidRPr="00BB4AA2">
        <w:rPr>
          <w:rFonts w:ascii="Arial" w:hAnsi="Arial" w:cs="Arial"/>
          <w:b/>
          <w:sz w:val="22"/>
          <w:szCs w:val="22"/>
        </w:rPr>
        <w:t>K Čl. II</w:t>
      </w:r>
    </w:p>
    <w:p w:rsidR="00EB596A" w:rsidRPr="00BB4AA2" w:rsidRDefault="00EB596A" w:rsidP="00EB596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>Navrhovaná ustanovení použijí vybrané účetní jednotky poprvé v účetním období započatém dne 1. ledna 2016 a později.</w:t>
      </w:r>
    </w:p>
    <w:p w:rsidR="00EB596A" w:rsidRPr="00BB4AA2" w:rsidRDefault="00EB596A" w:rsidP="00EB596A">
      <w:pPr>
        <w:jc w:val="both"/>
        <w:rPr>
          <w:rFonts w:ascii="Arial" w:hAnsi="Arial" w:cs="Arial"/>
          <w:sz w:val="22"/>
          <w:szCs w:val="22"/>
        </w:rPr>
      </w:pPr>
    </w:p>
    <w:p w:rsidR="00EB596A" w:rsidRPr="00BB4AA2" w:rsidRDefault="00EB596A" w:rsidP="00EB596A">
      <w:pPr>
        <w:jc w:val="both"/>
        <w:rPr>
          <w:rFonts w:ascii="Arial" w:hAnsi="Arial" w:cs="Arial"/>
          <w:b/>
          <w:sz w:val="22"/>
          <w:szCs w:val="22"/>
        </w:rPr>
      </w:pPr>
      <w:r w:rsidRPr="00BB4AA2">
        <w:rPr>
          <w:rFonts w:ascii="Arial" w:hAnsi="Arial" w:cs="Arial"/>
          <w:b/>
          <w:sz w:val="22"/>
          <w:szCs w:val="22"/>
        </w:rPr>
        <w:t>K Čl. III</w:t>
      </w:r>
    </w:p>
    <w:p w:rsidR="00F915A2" w:rsidRPr="00BB4AA2" w:rsidRDefault="00EB596A" w:rsidP="00EB596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4AA2">
        <w:rPr>
          <w:rFonts w:ascii="Arial" w:hAnsi="Arial" w:cs="Arial"/>
          <w:sz w:val="22"/>
          <w:szCs w:val="22"/>
        </w:rPr>
        <w:t>Účinnost vyhlášky je navrhována dnem 1. ledna 2016.</w:t>
      </w:r>
    </w:p>
    <w:sectPr w:rsidR="00F915A2" w:rsidRPr="00BB4AA2" w:rsidSect="008A6754">
      <w:footerReference w:type="default" r:id="rId7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B8" w:rsidRDefault="00AD27B8">
      <w:r>
        <w:separator/>
      </w:r>
    </w:p>
  </w:endnote>
  <w:endnote w:type="continuationSeparator" w:id="0">
    <w:p w:rsidR="00AD27B8" w:rsidRDefault="00A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BF" w:rsidRDefault="00EB596A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59A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B8" w:rsidRDefault="00AD27B8">
      <w:r>
        <w:separator/>
      </w:r>
    </w:p>
  </w:footnote>
  <w:footnote w:type="continuationSeparator" w:id="0">
    <w:p w:rsidR="00AD27B8" w:rsidRDefault="00AD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6A"/>
    <w:rsid w:val="00024B2C"/>
    <w:rsid w:val="001D71BB"/>
    <w:rsid w:val="00220607"/>
    <w:rsid w:val="003B7801"/>
    <w:rsid w:val="003F4516"/>
    <w:rsid w:val="00434110"/>
    <w:rsid w:val="006C1D67"/>
    <w:rsid w:val="007F1D9A"/>
    <w:rsid w:val="00915841"/>
    <w:rsid w:val="00AA1F8F"/>
    <w:rsid w:val="00AD27B8"/>
    <w:rsid w:val="00BB4AA2"/>
    <w:rsid w:val="00D159AC"/>
    <w:rsid w:val="00EB596A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596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59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B59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59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B5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596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59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B59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59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B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KACR - Pavla Psenickova</cp:lastModifiedBy>
  <cp:revision>2</cp:revision>
  <dcterms:created xsi:type="dcterms:W3CDTF">2015-10-05T11:22:00Z</dcterms:created>
  <dcterms:modified xsi:type="dcterms:W3CDTF">2015-10-05T11:22:00Z</dcterms:modified>
</cp:coreProperties>
</file>