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73" w:rsidRPr="00BE6F48" w:rsidRDefault="00CB4973" w:rsidP="00CB4973">
      <w:pPr>
        <w:spacing w:after="600"/>
        <w:jc w:val="right"/>
        <w:rPr>
          <w:rFonts w:cs="Arial"/>
          <w:sz w:val="22"/>
          <w:szCs w:val="22"/>
        </w:rPr>
      </w:pPr>
      <w:bookmarkStart w:id="0" w:name="_GoBack"/>
      <w:bookmarkEnd w:id="0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rFonts w:cs="Arial"/>
          <w:bCs/>
          <w:sz w:val="22"/>
          <w:szCs w:val="22"/>
        </w:rPr>
        <w:t>II.</w:t>
      </w:r>
    </w:p>
    <w:p w:rsidR="00CB4973" w:rsidRDefault="00CB4973" w:rsidP="00E64096">
      <w:pPr>
        <w:pStyle w:val="StylD"/>
        <w:jc w:val="center"/>
        <w:rPr>
          <w:b/>
          <w:szCs w:val="24"/>
        </w:rPr>
      </w:pPr>
    </w:p>
    <w:p w:rsidR="00E64096" w:rsidRPr="00697C8B" w:rsidRDefault="00E64096" w:rsidP="00E64096">
      <w:pPr>
        <w:pStyle w:val="StylD"/>
        <w:jc w:val="center"/>
        <w:rPr>
          <w:b/>
          <w:szCs w:val="24"/>
        </w:rPr>
      </w:pPr>
      <w:r w:rsidRPr="00697C8B">
        <w:rPr>
          <w:b/>
          <w:szCs w:val="24"/>
        </w:rPr>
        <w:t>VYHLÁŠKA</w:t>
      </w:r>
    </w:p>
    <w:p w:rsidR="00E64096" w:rsidRPr="00697C8B" w:rsidRDefault="00E64096" w:rsidP="00E64096">
      <w:pPr>
        <w:pStyle w:val="StylD"/>
        <w:tabs>
          <w:tab w:val="left" w:pos="3544"/>
        </w:tabs>
        <w:jc w:val="center"/>
        <w:rPr>
          <w:szCs w:val="24"/>
        </w:rPr>
      </w:pPr>
      <w:r w:rsidRPr="00697C8B">
        <w:rPr>
          <w:szCs w:val="24"/>
        </w:rPr>
        <w:t xml:space="preserve">ze </w:t>
      </w:r>
      <w:r w:rsidR="00697C8B" w:rsidRPr="00697C8B">
        <w:rPr>
          <w:rFonts w:cs="Arial"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7C8B" w:rsidRPr="00697C8B">
        <w:rPr>
          <w:rFonts w:cs="Arial"/>
          <w:bCs/>
          <w:szCs w:val="24"/>
        </w:rPr>
        <w:instrText xml:space="preserve"> FORMTEXT </w:instrText>
      </w:r>
      <w:r w:rsidR="00697C8B" w:rsidRPr="00697C8B">
        <w:rPr>
          <w:rFonts w:cs="Arial"/>
          <w:bCs/>
          <w:szCs w:val="24"/>
        </w:rPr>
      </w:r>
      <w:r w:rsidR="00697C8B" w:rsidRPr="00697C8B">
        <w:rPr>
          <w:rFonts w:cs="Arial"/>
          <w:bCs/>
          <w:szCs w:val="24"/>
        </w:rPr>
        <w:fldChar w:fldCharType="separate"/>
      </w:r>
      <w:r w:rsidR="00697C8B" w:rsidRPr="00697C8B">
        <w:rPr>
          <w:rFonts w:cs="Arial"/>
          <w:bCs/>
          <w:noProof/>
          <w:szCs w:val="24"/>
        </w:rPr>
        <w:t> </w:t>
      </w:r>
      <w:r w:rsidR="00697C8B" w:rsidRPr="00697C8B">
        <w:rPr>
          <w:rFonts w:cs="Arial"/>
          <w:bCs/>
          <w:noProof/>
          <w:szCs w:val="24"/>
        </w:rPr>
        <w:t> </w:t>
      </w:r>
      <w:r w:rsidR="00697C8B" w:rsidRPr="00697C8B">
        <w:rPr>
          <w:rFonts w:cs="Arial"/>
          <w:bCs/>
          <w:noProof/>
          <w:szCs w:val="24"/>
        </w:rPr>
        <w:t> </w:t>
      </w:r>
      <w:r w:rsidR="00697C8B" w:rsidRPr="00697C8B">
        <w:rPr>
          <w:rFonts w:cs="Arial"/>
          <w:bCs/>
          <w:noProof/>
          <w:szCs w:val="24"/>
        </w:rPr>
        <w:t> </w:t>
      </w:r>
      <w:r w:rsidR="00697C8B" w:rsidRPr="00697C8B">
        <w:rPr>
          <w:rFonts w:cs="Arial"/>
          <w:bCs/>
          <w:noProof/>
          <w:szCs w:val="24"/>
        </w:rPr>
        <w:t> </w:t>
      </w:r>
      <w:r w:rsidR="00697C8B" w:rsidRPr="00697C8B">
        <w:rPr>
          <w:rFonts w:cs="Arial"/>
          <w:bCs/>
          <w:szCs w:val="24"/>
        </w:rPr>
        <w:fldChar w:fldCharType="end"/>
      </w:r>
      <w:r w:rsidR="00697C8B">
        <w:rPr>
          <w:rFonts w:cs="Arial"/>
          <w:bCs/>
          <w:szCs w:val="24"/>
        </w:rPr>
        <w:t xml:space="preserve"> </w:t>
      </w:r>
      <w:r w:rsidRPr="00697C8B">
        <w:rPr>
          <w:szCs w:val="24"/>
        </w:rPr>
        <w:t xml:space="preserve">dne </w:t>
      </w:r>
      <w:r w:rsidR="00697C8B" w:rsidRPr="00697C8B">
        <w:rPr>
          <w:rFonts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dd.mm.rrrr"/>
            </w:textInput>
          </w:ffData>
        </w:fldChar>
      </w:r>
      <w:r w:rsidR="00697C8B" w:rsidRPr="00697C8B">
        <w:rPr>
          <w:rFonts w:cs="Arial"/>
          <w:bCs/>
          <w:szCs w:val="24"/>
        </w:rPr>
        <w:instrText xml:space="preserve"> FORMTEXT </w:instrText>
      </w:r>
      <w:r w:rsidR="00697C8B" w:rsidRPr="00697C8B">
        <w:rPr>
          <w:rFonts w:cs="Arial"/>
          <w:bCs/>
          <w:szCs w:val="24"/>
        </w:rPr>
      </w:r>
      <w:r w:rsidR="00697C8B" w:rsidRPr="00697C8B">
        <w:rPr>
          <w:rFonts w:cs="Arial"/>
          <w:bCs/>
          <w:szCs w:val="24"/>
        </w:rPr>
        <w:fldChar w:fldCharType="separate"/>
      </w:r>
      <w:r w:rsidR="00697C8B" w:rsidRPr="00697C8B">
        <w:rPr>
          <w:rFonts w:cs="Arial"/>
          <w:bCs/>
          <w:noProof/>
          <w:szCs w:val="24"/>
        </w:rPr>
        <w:t>dd.mm.rrrr</w:t>
      </w:r>
      <w:r w:rsidR="00697C8B" w:rsidRPr="00697C8B">
        <w:rPr>
          <w:rFonts w:cs="Arial"/>
          <w:bCs/>
          <w:szCs w:val="24"/>
        </w:rPr>
        <w:fldChar w:fldCharType="end"/>
      </w:r>
      <w:r w:rsidR="00697C8B" w:rsidRPr="00697C8B">
        <w:rPr>
          <w:rStyle w:val="Znakapoznpodarou"/>
          <w:rFonts w:cs="Arial"/>
          <w:bCs/>
          <w:szCs w:val="24"/>
        </w:rPr>
        <w:footnoteReference w:id="1"/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  <w:r w:rsidRPr="007C5B66">
        <w:rPr>
          <w:rFonts w:cs="Arial"/>
          <w:szCs w:val="24"/>
        </w:rPr>
        <w:t>k provedení některých ustanovení zákona o účetnictví, pro účetní jednotky, které vedou jednoduché účetnictví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  <w:r w:rsidRPr="007C5B66">
        <w:rPr>
          <w:rFonts w:cs="Arial"/>
          <w:szCs w:val="24"/>
        </w:rPr>
        <w:t xml:space="preserve">Ministerstvo financí stanoví podle § 37b odst. 1 zákona č. 563/1991 Sb., o účetnictví, ve znění zákona č. 304/2008 Sb. a zákona </w:t>
      </w:r>
      <w:proofErr w:type="gramStart"/>
      <w:r w:rsidRPr="007C5B66">
        <w:rPr>
          <w:rFonts w:cs="Arial"/>
          <w:szCs w:val="24"/>
        </w:rPr>
        <w:t>č.  …</w:t>
      </w:r>
      <w:proofErr w:type="gramEnd"/>
      <w:r w:rsidRPr="007C5B66">
        <w:rPr>
          <w:rFonts w:cs="Arial"/>
          <w:szCs w:val="24"/>
        </w:rPr>
        <w:t xml:space="preserve">/2015 Sb. (dále jen „zákon o účetnictví“), k provedení § </w:t>
      </w:r>
      <w:smartTag w:uri="urn:schemas-microsoft-com:office:smarttags" w:element="metricconverter">
        <w:smartTagPr>
          <w:attr w:name="ProductID" w:val="1f"/>
        </w:smartTagPr>
        <w:r w:rsidRPr="007C5B66">
          <w:rPr>
            <w:rFonts w:cs="Arial"/>
            <w:szCs w:val="24"/>
          </w:rPr>
          <w:t>1f</w:t>
        </w:r>
      </w:smartTag>
      <w:r w:rsidRPr="007C5B66">
        <w:rPr>
          <w:rFonts w:cs="Arial"/>
          <w:szCs w:val="24"/>
        </w:rPr>
        <w:t xml:space="preserve"> odst. 6, § 4 odst. 8 písm. h a § 13 odst. 6: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7C5B66">
        <w:rPr>
          <w:rFonts w:cs="Arial"/>
          <w:b/>
          <w:bCs/>
          <w:szCs w:val="24"/>
        </w:rPr>
        <w:t>§ 1</w:t>
      </w:r>
      <w:r w:rsidRPr="007C5B66">
        <w:rPr>
          <w:rFonts w:cs="Arial"/>
          <w:b/>
          <w:szCs w:val="24"/>
        </w:rPr>
        <w:t xml:space="preserve">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7C5B66">
        <w:rPr>
          <w:rFonts w:cs="Arial"/>
          <w:b/>
          <w:bCs/>
          <w:szCs w:val="24"/>
        </w:rPr>
        <w:t xml:space="preserve">Předmět a působnost úpravy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Vyhláška stanoví obsahové vymezení účetních knih v jednoduchém účetnictví k zajištění sestavení přehledů podle § 13b zákona o účetnictví.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7C5B66">
        <w:rPr>
          <w:rFonts w:cs="Arial"/>
          <w:b/>
          <w:bCs/>
          <w:szCs w:val="24"/>
        </w:rPr>
        <w:t xml:space="preserve">§ 2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7C5B66">
        <w:rPr>
          <w:rFonts w:cs="Arial"/>
          <w:b/>
          <w:bCs/>
          <w:szCs w:val="24"/>
        </w:rPr>
        <w:t xml:space="preserve">Peněžní deník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(1)</w:t>
      </w:r>
      <w:r w:rsidRPr="007C5B66">
        <w:rPr>
          <w:rFonts w:cs="Arial"/>
          <w:szCs w:val="24"/>
        </w:rPr>
        <w:tab/>
        <w:t>Účetní jednotka účtuje v peněžním deníku, v němž účetní zápisy uspořádá v daném účetním období z hlediska časového (chronologicky) a jimiž prokazuje zaúčtování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a)</w:t>
      </w:r>
      <w:r w:rsidRPr="007C5B66">
        <w:rPr>
          <w:rFonts w:cs="Arial"/>
          <w:szCs w:val="24"/>
        </w:rPr>
        <w:tab/>
        <w:t>příjmů a výdajů peněžních prostředků v hotovosti,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1440" w:hanging="72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b)</w:t>
      </w:r>
      <w:r w:rsidRPr="007C5B66">
        <w:rPr>
          <w:rFonts w:cs="Arial"/>
          <w:szCs w:val="24"/>
        </w:rPr>
        <w:tab/>
        <w:t>příjmů a výdajů peněžních prostředků na účtech zejména v bankách nebo u spořitelních a úvěrních družstev (dále jen „bankovní účet“),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1440" w:hanging="72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c)</w:t>
      </w:r>
      <w:r w:rsidRPr="007C5B66">
        <w:rPr>
          <w:rFonts w:cs="Arial"/>
          <w:szCs w:val="24"/>
        </w:rPr>
        <w:tab/>
        <w:t>průběžných položek vzájemných převodů peněžních prostředků v hotovosti a bankovními účty a převodů mezi bankovními účty,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1440" w:hanging="720"/>
        <w:jc w:val="both"/>
        <w:rPr>
          <w:rFonts w:cs="Arial"/>
          <w:b/>
          <w:i/>
          <w:color w:val="FF00FF"/>
          <w:szCs w:val="24"/>
        </w:rPr>
      </w:pPr>
      <w:r w:rsidRPr="007C5B66">
        <w:rPr>
          <w:rFonts w:cs="Arial"/>
          <w:szCs w:val="24"/>
        </w:rPr>
        <w:t>d)</w:t>
      </w:r>
      <w:r w:rsidRPr="007C5B66">
        <w:rPr>
          <w:rFonts w:cs="Arial"/>
          <w:szCs w:val="24"/>
        </w:rPr>
        <w:tab/>
        <w:t>kursových rozdílů peněžních prostředků zjištěných přepočtem zůstatků v hotovosti a na bankovních</w:t>
      </w:r>
      <w:r w:rsidRPr="007C5B66">
        <w:rPr>
          <w:rFonts w:cs="Arial"/>
          <w:b/>
          <w:i/>
          <w:color w:val="FF00FF"/>
          <w:szCs w:val="24"/>
        </w:rPr>
        <w:t xml:space="preserve"> </w:t>
      </w:r>
      <w:r w:rsidRPr="007C5B66">
        <w:rPr>
          <w:rFonts w:cs="Arial"/>
          <w:szCs w:val="24"/>
        </w:rPr>
        <w:t>účtech vedených v cizí měně k rozvahovému dni nebo k jinému okamžiku, ke kterému se peněžní deník uzavírá.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(2)</w:t>
      </w:r>
      <w:r w:rsidRPr="007C5B66">
        <w:rPr>
          <w:rFonts w:cs="Arial"/>
          <w:szCs w:val="24"/>
        </w:rPr>
        <w:tab/>
        <w:t xml:space="preserve">Peněžní deník obsahuje položky příjmů a výdajů podle </w:t>
      </w:r>
      <w:hyperlink r:id="rId9" w:history="1">
        <w:r w:rsidRPr="007C5B66">
          <w:rPr>
            <w:rFonts w:cs="Arial"/>
            <w:szCs w:val="24"/>
          </w:rPr>
          <w:t>odstavce 1</w:t>
        </w:r>
      </w:hyperlink>
      <w:r w:rsidRPr="007C5B66">
        <w:rPr>
          <w:rFonts w:cs="Arial"/>
          <w:szCs w:val="24"/>
        </w:rPr>
        <w:t xml:space="preserve"> a rozdíly mezi příjmy a výdaji za účetní období v členění na hlavní a hospodářskou činnost</w:t>
      </w:r>
      <w:r w:rsidRPr="007C5B66">
        <w:rPr>
          <w:rStyle w:val="Znakapoznpodarou"/>
          <w:rFonts w:cs="Arial"/>
          <w:szCs w:val="24"/>
        </w:rPr>
        <w:footnoteReference w:id="2"/>
      </w:r>
      <w:r w:rsidRPr="007C5B66">
        <w:rPr>
          <w:rStyle w:val="Znakapoznpodarou"/>
          <w:rFonts w:cs="Arial"/>
          <w:szCs w:val="24"/>
        </w:rPr>
        <w:t>)</w:t>
      </w:r>
      <w:r w:rsidRPr="007C5B66">
        <w:rPr>
          <w:rFonts w:cs="Arial"/>
          <w:szCs w:val="24"/>
        </w:rPr>
        <w:t xml:space="preserve"> a dále jen v členění, které je nezbytné pro zjištění základu daně z příjmů a v členění, jež je nezbytné pro splnění povinností účetní jednotky, které pro ni vyplývají z jiných právních předpisů</w:t>
      </w:r>
      <w:r w:rsidRPr="007C5B66">
        <w:rPr>
          <w:rStyle w:val="Znakapoznpodarou"/>
          <w:rFonts w:cs="Arial"/>
          <w:szCs w:val="24"/>
        </w:rPr>
        <w:t xml:space="preserve"> </w:t>
      </w:r>
      <w:r w:rsidRPr="007C5B66">
        <w:rPr>
          <w:rStyle w:val="Znakapoznpodarou"/>
          <w:rFonts w:cs="Arial"/>
          <w:szCs w:val="24"/>
        </w:rPr>
        <w:footnoteReference w:id="3"/>
      </w:r>
      <w:r w:rsidRPr="007C5B66">
        <w:rPr>
          <w:rStyle w:val="Znakapoznpodarou"/>
          <w:rFonts w:cs="Arial"/>
          <w:szCs w:val="24"/>
        </w:rPr>
        <w:t>)</w:t>
      </w:r>
      <w:r w:rsidRPr="007C5B66">
        <w:rPr>
          <w:rFonts w:cs="Arial"/>
          <w:szCs w:val="24"/>
        </w:rPr>
        <w:t>, a pro vlastní potřeby.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1080"/>
        <w:jc w:val="both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lastRenderedPageBreak/>
        <w:t>(3)</w:t>
      </w:r>
      <w:r w:rsidRPr="007C5B66">
        <w:rPr>
          <w:rFonts w:cs="Arial"/>
          <w:szCs w:val="24"/>
        </w:rPr>
        <w:tab/>
        <w:t>Peněžní deník obsahuje při otevírání a uzavírání účetního období zůstatky peněžních prostředků v hotovosti, peněžních prostředků na bankovních</w:t>
      </w:r>
      <w:r w:rsidRPr="007C5B66">
        <w:rPr>
          <w:rFonts w:cs="Arial"/>
          <w:b/>
          <w:i/>
          <w:color w:val="FF00FF"/>
          <w:szCs w:val="24"/>
        </w:rPr>
        <w:t xml:space="preserve"> </w:t>
      </w:r>
      <w:r w:rsidRPr="007C5B66">
        <w:rPr>
          <w:rFonts w:cs="Arial"/>
          <w:szCs w:val="24"/>
        </w:rPr>
        <w:t xml:space="preserve">účtech a průběžných položek.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color w:val="FF00FF"/>
          <w:szCs w:val="24"/>
        </w:rPr>
      </w:pPr>
      <w:r w:rsidRPr="007C5B66">
        <w:rPr>
          <w:rFonts w:cs="Arial"/>
          <w:szCs w:val="24"/>
        </w:rPr>
        <w:t>(4)</w:t>
      </w:r>
      <w:r w:rsidRPr="007C5B66">
        <w:rPr>
          <w:rFonts w:cs="Arial"/>
          <w:szCs w:val="24"/>
        </w:rPr>
        <w:tab/>
        <w:t>Informace uvedené v odstavci 2 se uvádějí v přehledu o majetku a závazcích.</w:t>
      </w:r>
      <w:r w:rsidRPr="007C5B66">
        <w:rPr>
          <w:rFonts w:cs="Arial"/>
          <w:b/>
          <w:i/>
          <w:color w:val="FF00FF"/>
          <w:szCs w:val="24"/>
        </w:rPr>
        <w:t xml:space="preserve">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color w:val="FF00FF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i/>
          <w:color w:val="FF00FF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7C5B66">
        <w:rPr>
          <w:rFonts w:cs="Arial"/>
          <w:b/>
          <w:bCs/>
          <w:szCs w:val="24"/>
        </w:rPr>
        <w:t xml:space="preserve">§ 3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7C5B66">
        <w:rPr>
          <w:rFonts w:cs="Arial"/>
          <w:b/>
          <w:bCs/>
          <w:szCs w:val="24"/>
        </w:rPr>
        <w:t xml:space="preserve">Kniha pohledávek a závazků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szCs w:val="24"/>
        </w:rPr>
      </w:pPr>
      <w:r w:rsidRPr="007C5B66">
        <w:rPr>
          <w:rFonts w:cs="Arial"/>
          <w:szCs w:val="24"/>
        </w:rPr>
        <w:t>(1)</w:t>
      </w:r>
      <w:r w:rsidRPr="007C5B66">
        <w:rPr>
          <w:rFonts w:cs="Arial"/>
          <w:szCs w:val="24"/>
        </w:rPr>
        <w:tab/>
        <w:t>V knize pohledávek a závazků účetní jednotka eviduje pohledávky podle jednotlivých dlužníků a dluhy podle jednotlivých věřitelů. Pohledávky a dluhy v knize pohledávek a závazků uspořádá z hlediska časového (chronologicky). Kniha pohledávek a závazků obsahuje rovněž závazky</w:t>
      </w:r>
      <w:r w:rsidRPr="007C5B66">
        <w:rPr>
          <w:rFonts w:cs="Arial"/>
          <w:b/>
          <w:i/>
          <w:color w:val="FF00FF"/>
          <w:szCs w:val="24"/>
        </w:rPr>
        <w:t xml:space="preserve"> </w:t>
      </w:r>
      <w:r w:rsidRPr="007C5B66">
        <w:rPr>
          <w:rFonts w:cs="Arial"/>
          <w:szCs w:val="24"/>
        </w:rPr>
        <w:t>včetně dluhů z pracovněprávních vztahů podle zákoníku práce.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720" w:hanging="36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(2)</w:t>
      </w:r>
      <w:r w:rsidRPr="007C5B66">
        <w:rPr>
          <w:rFonts w:cs="Arial"/>
          <w:szCs w:val="24"/>
        </w:rPr>
        <w:tab/>
        <w:t xml:space="preserve">Kniha pohledávek a závazků obsahuje stavy neinkasovaných pohledávek a neuhrazených dluhů zjištěné při uzavírání této knihy k rozvahovému dni nebo k jinému okamžiku, ke kterému se sestavuje přehled o majetku a závazcích (konečné zůstatky).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i/>
          <w:color w:val="FF00FF"/>
          <w:szCs w:val="24"/>
        </w:rPr>
      </w:pPr>
      <w:r w:rsidRPr="007C5B66">
        <w:rPr>
          <w:rFonts w:cs="Arial"/>
          <w:szCs w:val="24"/>
        </w:rPr>
        <w:t>(3)</w:t>
      </w:r>
      <w:r w:rsidRPr="007C5B66">
        <w:rPr>
          <w:rFonts w:cs="Arial"/>
          <w:szCs w:val="24"/>
        </w:rPr>
        <w:tab/>
        <w:t>Při otevírání knihy pohledávek a závazků včetně dluhů v následujícím období se konečné zůstatky minulého období stávají počátečními zůstatky.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i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  <w:r w:rsidRPr="007C5B66">
        <w:rPr>
          <w:rFonts w:cs="Arial"/>
          <w:szCs w:val="24"/>
        </w:rPr>
        <w:t>(4)</w:t>
      </w:r>
      <w:r w:rsidRPr="007C5B66">
        <w:rPr>
          <w:rFonts w:cs="Arial"/>
          <w:szCs w:val="24"/>
        </w:rPr>
        <w:tab/>
        <w:t>Informace uvedené v odstavci 2 se uvádějí v přehledu o majetku a závazcích.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7C5B66">
        <w:rPr>
          <w:rFonts w:cs="Arial"/>
          <w:b/>
          <w:bCs/>
          <w:szCs w:val="24"/>
        </w:rPr>
        <w:t>§ 4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7C5B66">
        <w:rPr>
          <w:rFonts w:cs="Arial"/>
          <w:b/>
          <w:bCs/>
          <w:szCs w:val="24"/>
        </w:rPr>
        <w:t xml:space="preserve">Pomocná kniha ostatních složek majetku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  <w:r w:rsidRPr="007C5B66">
        <w:rPr>
          <w:rFonts w:cs="Arial"/>
          <w:szCs w:val="24"/>
        </w:rPr>
        <w:t>(1)</w:t>
      </w:r>
      <w:r w:rsidRPr="007C5B66">
        <w:rPr>
          <w:rFonts w:cs="Arial"/>
          <w:szCs w:val="24"/>
        </w:rPr>
        <w:tab/>
        <w:t>V pomocné knize ostatních složek majetku účetní jednotka eviduje zejména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</w:rPr>
      </w:pPr>
      <w:r w:rsidRPr="007C5B66">
        <w:rPr>
          <w:rFonts w:cs="Arial"/>
          <w:szCs w:val="24"/>
        </w:rPr>
        <w:t>a)</w:t>
      </w:r>
      <w:r w:rsidRPr="007C5B66">
        <w:rPr>
          <w:rFonts w:cs="Arial"/>
          <w:szCs w:val="24"/>
        </w:rPr>
        <w:tab/>
        <w:t xml:space="preserve">dlouhodobý nehmotný a hmotný majetek, 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</w:rPr>
      </w:pPr>
      <w:r w:rsidRPr="007C5B66">
        <w:rPr>
          <w:rFonts w:cs="Arial"/>
          <w:szCs w:val="24"/>
        </w:rPr>
        <w:t>b)</w:t>
      </w:r>
      <w:r w:rsidRPr="007C5B66">
        <w:rPr>
          <w:rFonts w:cs="Arial"/>
          <w:szCs w:val="24"/>
        </w:rPr>
        <w:tab/>
        <w:t>finanční majetek,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</w:rPr>
      </w:pPr>
      <w:r w:rsidRPr="007C5B66">
        <w:rPr>
          <w:rFonts w:cs="Arial"/>
          <w:szCs w:val="24"/>
        </w:rPr>
        <w:t>c)</w:t>
      </w:r>
      <w:r w:rsidRPr="007C5B66">
        <w:rPr>
          <w:rFonts w:cs="Arial"/>
          <w:szCs w:val="24"/>
        </w:rPr>
        <w:tab/>
        <w:t>zásoby,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</w:rPr>
      </w:pPr>
      <w:r w:rsidRPr="007C5B66">
        <w:rPr>
          <w:rFonts w:cs="Arial"/>
          <w:szCs w:val="24"/>
        </w:rPr>
        <w:t>d)</w:t>
      </w:r>
      <w:r w:rsidRPr="007C5B66">
        <w:rPr>
          <w:rFonts w:cs="Arial"/>
          <w:szCs w:val="24"/>
        </w:rPr>
        <w:tab/>
        <w:t>ceniny.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108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(2)</w:t>
      </w:r>
      <w:r w:rsidRPr="007C5B66">
        <w:rPr>
          <w:rFonts w:cs="Arial"/>
          <w:szCs w:val="24"/>
        </w:rPr>
        <w:tab/>
        <w:t xml:space="preserve">Pomocná kniha ostatních složek majetku obsahuje stavy ostatních složek majetku zjištěné při uzavírání této knihy k rozvahovému dni nebo k jinému okamžiku, ke kterému se sestavuje přehled o majetku a závazcích (konečné zůstatky). 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66" w:hanging="66"/>
        <w:jc w:val="both"/>
        <w:rPr>
          <w:rFonts w:cs="Arial"/>
          <w:b/>
          <w:bCs/>
          <w:i/>
          <w:szCs w:val="24"/>
        </w:rPr>
      </w:pPr>
      <w:r w:rsidRPr="007C5B66">
        <w:rPr>
          <w:rFonts w:cs="Arial"/>
          <w:szCs w:val="24"/>
        </w:rPr>
        <w:t xml:space="preserve"> (3)</w:t>
      </w:r>
      <w:r w:rsidRPr="007C5B66">
        <w:rPr>
          <w:rFonts w:cs="Arial"/>
          <w:szCs w:val="24"/>
        </w:rPr>
        <w:tab/>
        <w:t>Při otevírání knihy ostatních složek majetku v následujícím období se konečné zůstatky minulého období stávají počátečními zůstatky.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i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66"/>
        <w:rPr>
          <w:rFonts w:cs="Arial"/>
          <w:szCs w:val="24"/>
        </w:rPr>
      </w:pPr>
      <w:r w:rsidRPr="007C5B66">
        <w:rPr>
          <w:rFonts w:cs="Arial"/>
          <w:szCs w:val="24"/>
        </w:rPr>
        <w:t>(4)</w:t>
      </w:r>
      <w:r w:rsidRPr="007C5B66">
        <w:rPr>
          <w:rFonts w:cs="Arial"/>
          <w:szCs w:val="24"/>
        </w:rPr>
        <w:tab/>
        <w:t>Informace uvedené v odstavci 2 se uvádějí v přehledu o majetku a závazcích.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§ 5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Přehled o příjmech a výdajích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lastRenderedPageBreak/>
        <w:t>(1)</w:t>
      </w:r>
      <w:r w:rsidRPr="007C5B66">
        <w:rPr>
          <w:rFonts w:cs="Arial"/>
          <w:szCs w:val="24"/>
        </w:rPr>
        <w:tab/>
        <w:t>V přehledu o příjmech a výdajích jsou příjmy a výdaje uspořádány v členění na hlavní a hospodářskou činnost</w:t>
      </w:r>
      <w:r w:rsidRPr="007C5B66">
        <w:rPr>
          <w:rStyle w:val="Znakapoznpodarou"/>
          <w:rFonts w:cs="Arial"/>
          <w:szCs w:val="24"/>
        </w:rPr>
        <w:t>1)</w:t>
      </w:r>
      <w:r w:rsidRPr="007C5B66">
        <w:rPr>
          <w:rFonts w:cs="Arial"/>
          <w:szCs w:val="24"/>
        </w:rPr>
        <w:t xml:space="preserve"> včetně součtových položek a jejich rozdíl je vykázán k rozvahovému dni běžného účetního období a k rozvahovému dni minulého účetního období nebo k jinému okamžiku, ke kterému se přehled o příjmech a výdajích sestavuje.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i/>
          <w:szCs w:val="24"/>
        </w:rPr>
      </w:pPr>
      <w:r w:rsidRPr="007C5B66">
        <w:rPr>
          <w:rFonts w:cs="Arial"/>
          <w:szCs w:val="24"/>
        </w:rPr>
        <w:t>(2)</w:t>
      </w:r>
      <w:r w:rsidRPr="007C5B66">
        <w:rPr>
          <w:rFonts w:cs="Arial"/>
          <w:szCs w:val="24"/>
        </w:rPr>
        <w:tab/>
        <w:t xml:space="preserve">Uspořádání a označování položek v přehledu o příjmech a výdajích je uvedeno v příloze č. 1.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720" w:hanging="36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(3)</w:t>
      </w:r>
      <w:r w:rsidRPr="007C5B66">
        <w:rPr>
          <w:rFonts w:cs="Arial"/>
          <w:szCs w:val="24"/>
        </w:rPr>
        <w:tab/>
        <w:t>Přehled o příjmech a výdajích se sestavuje v peněžních jednotkách české měny a jednotlivé položky se vykazují v tisících Kč.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§ 6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7C5B66">
        <w:rPr>
          <w:rFonts w:cs="Arial"/>
          <w:b/>
          <w:bCs/>
          <w:szCs w:val="24"/>
        </w:rPr>
        <w:t xml:space="preserve">Přehled o majetku a závazcích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(1)</w:t>
      </w:r>
      <w:r w:rsidRPr="007C5B66">
        <w:rPr>
          <w:rFonts w:cs="Arial"/>
          <w:szCs w:val="24"/>
        </w:rPr>
        <w:tab/>
        <w:t>V přehledu o majetku a závazcích jsou uspořádány položky majetku a závazků včetně součtových položek a jejich rozdíl k rozvahovému dni běžného účetního období a k rozvahovému dni minulého účetního období nebo k jinému okamžiku, ke kterému se přehled o majetku a závazcích sestavuje.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i/>
          <w:szCs w:val="24"/>
        </w:rPr>
      </w:pPr>
      <w:r w:rsidRPr="007C5B66">
        <w:rPr>
          <w:rFonts w:cs="Arial"/>
          <w:szCs w:val="24"/>
        </w:rPr>
        <w:t>(2)</w:t>
      </w:r>
      <w:r w:rsidRPr="007C5B66">
        <w:rPr>
          <w:rFonts w:cs="Arial"/>
          <w:szCs w:val="24"/>
        </w:rPr>
        <w:tab/>
        <w:t xml:space="preserve">Uspořádání a označování položek přehledu o majetku a závazcích je uvedeno v příloze č. 2.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firstLine="720"/>
        <w:rPr>
          <w:rFonts w:cs="Arial"/>
          <w:b/>
          <w:bCs/>
          <w:i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b/>
          <w:szCs w:val="24"/>
        </w:rPr>
      </w:pPr>
      <w:r w:rsidRPr="007C5B66">
        <w:rPr>
          <w:rFonts w:cs="Arial"/>
          <w:szCs w:val="24"/>
        </w:rPr>
        <w:t>(3)</w:t>
      </w:r>
      <w:r w:rsidRPr="007C5B66">
        <w:rPr>
          <w:rFonts w:cs="Arial"/>
          <w:szCs w:val="24"/>
        </w:rPr>
        <w:tab/>
        <w:t>Přehled o majetku a závazcích se sestavuje v peněžních jednotkách české měny a jednotlivé položky se vykazují v tisících Kč.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§ 7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b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 w:rsidRPr="007C5B66">
        <w:rPr>
          <w:rFonts w:cs="Arial"/>
          <w:b/>
          <w:bCs/>
          <w:szCs w:val="24"/>
        </w:rPr>
        <w:t>Postup přechodu z účetnictví</w:t>
      </w:r>
      <w:r w:rsidRPr="007C5B66">
        <w:rPr>
          <w:rFonts w:cs="Arial"/>
          <w:b/>
          <w:bCs/>
          <w:i/>
          <w:szCs w:val="24"/>
        </w:rPr>
        <w:t xml:space="preserve"> </w:t>
      </w:r>
      <w:r w:rsidRPr="007C5B66">
        <w:rPr>
          <w:rFonts w:cs="Arial"/>
          <w:b/>
          <w:bCs/>
          <w:szCs w:val="24"/>
        </w:rPr>
        <w:t>vedeného v plném rozsahu</w:t>
      </w:r>
      <w:r w:rsidRPr="007C5B66">
        <w:rPr>
          <w:rFonts w:cs="Arial"/>
          <w:b/>
          <w:bCs/>
          <w:i/>
          <w:szCs w:val="24"/>
        </w:rPr>
        <w:t>,</w:t>
      </w:r>
      <w:r w:rsidRPr="007C5B66">
        <w:rPr>
          <w:rFonts w:cs="Arial"/>
          <w:b/>
          <w:bCs/>
          <w:szCs w:val="24"/>
        </w:rPr>
        <w:t xml:space="preserve"> nebo ve zjednodušeném rozsahu na jednoduché účetnictví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(1)</w:t>
      </w:r>
      <w:r w:rsidRPr="007C5B66">
        <w:rPr>
          <w:rFonts w:cs="Arial"/>
          <w:szCs w:val="24"/>
        </w:rPr>
        <w:tab/>
        <w:t xml:space="preserve">Při přechodu z účetnictví vedeného v plném rozsahu, nebo ve zjednodušeném rozsahu na jednoduché účetnictví účetní jednotka provede k rozvahovému dni inventarizaci podle části páté zákona o účetnictví.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360" w:hanging="360"/>
        <w:jc w:val="both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  <w:r w:rsidRPr="007C5B66">
        <w:rPr>
          <w:rFonts w:cs="Arial"/>
          <w:szCs w:val="24"/>
        </w:rPr>
        <w:t>(2)</w:t>
      </w:r>
      <w:r w:rsidRPr="007C5B66">
        <w:rPr>
          <w:rFonts w:cs="Arial"/>
          <w:szCs w:val="24"/>
        </w:rPr>
        <w:tab/>
        <w:t>K rozvahovému dni účetní jednotka zaúčtuje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993" w:hanging="284"/>
        <w:rPr>
          <w:rFonts w:cs="Arial"/>
          <w:szCs w:val="24"/>
        </w:rPr>
      </w:pPr>
      <w:r w:rsidRPr="007C5B66">
        <w:rPr>
          <w:rFonts w:cs="Arial"/>
          <w:szCs w:val="24"/>
        </w:rPr>
        <w:t>a)  zůstatky účtů opravných položek a rezerv, s výjimkou zůstatků účtů opravných položek a rezerv vytvářených podle  jiných právních předpisů</w:t>
      </w:r>
      <w:r w:rsidRPr="007C5B66">
        <w:rPr>
          <w:rStyle w:val="Znakapoznpodarou"/>
          <w:rFonts w:cs="Arial"/>
          <w:szCs w:val="24"/>
        </w:rPr>
        <w:footnoteReference w:id="4"/>
      </w:r>
      <w:r w:rsidRPr="007C5B66">
        <w:rPr>
          <w:rStyle w:val="Znakapoznpodarou"/>
          <w:rFonts w:cs="Arial"/>
          <w:szCs w:val="24"/>
        </w:rPr>
        <w:t>)</w:t>
      </w:r>
      <w:r w:rsidRPr="007C5B66">
        <w:rPr>
          <w:rFonts w:cs="Arial"/>
          <w:szCs w:val="24"/>
        </w:rPr>
        <w:t xml:space="preserve">  na příslušný účet nákladů nebo výnosů,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993" w:hanging="284"/>
        <w:rPr>
          <w:rFonts w:cs="Arial"/>
          <w:szCs w:val="24"/>
        </w:rPr>
      </w:pPr>
      <w:r w:rsidRPr="007C5B66">
        <w:rPr>
          <w:rFonts w:cs="Arial"/>
          <w:szCs w:val="24"/>
        </w:rPr>
        <w:t>b)  zůstatky přechodných účtů aktiv a pasiv v případě příjmů a výdajů hrazených v běžném</w:t>
      </w:r>
      <w:r w:rsidRPr="007C5B66">
        <w:rPr>
          <w:rFonts w:cs="Arial"/>
          <w:b/>
          <w:i/>
          <w:color w:val="FF00FF"/>
          <w:szCs w:val="24"/>
        </w:rPr>
        <w:t xml:space="preserve"> </w:t>
      </w:r>
      <w:r w:rsidRPr="007C5B66">
        <w:rPr>
          <w:rFonts w:cs="Arial"/>
          <w:szCs w:val="24"/>
        </w:rPr>
        <w:t>účetním období, jejichž náklady a výnosy patří do nákladů a výnosů následujícího účetního období, na příslušný účet nákladů nebo výnosů,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993" w:hanging="284"/>
        <w:rPr>
          <w:rFonts w:cs="Arial"/>
          <w:szCs w:val="24"/>
        </w:rPr>
      </w:pPr>
      <w:r w:rsidRPr="007C5B66">
        <w:rPr>
          <w:rFonts w:cs="Arial"/>
          <w:szCs w:val="24"/>
        </w:rPr>
        <w:t xml:space="preserve">c)  zůstatky přechodných účtů aktiv a pasiv v případě kursových rozdílů na příslušný účet nákladů nebo výnosů. 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(3)</w:t>
      </w:r>
      <w:r w:rsidRPr="007C5B66">
        <w:rPr>
          <w:rFonts w:cs="Arial"/>
          <w:szCs w:val="24"/>
        </w:rPr>
        <w:tab/>
        <w:t xml:space="preserve">Zůstatky peněžních prostředků převede účetní jednotka k prvnímu dni </w:t>
      </w:r>
      <w:r w:rsidRPr="007C5B66">
        <w:rPr>
          <w:rFonts w:cs="Arial"/>
          <w:szCs w:val="24"/>
        </w:rPr>
        <w:lastRenderedPageBreak/>
        <w:t>následujícího účetního období do peněžního deníku jako počáteční zůstatky. Zůstatek účtu peníze na cestě převede účetní jednotka k prvnímu dni následujícího účetního období do peněžního deníku jako počáteční zůstatek průběžných položek.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color w:val="FF00FF"/>
          <w:szCs w:val="24"/>
        </w:rPr>
      </w:pPr>
      <w:r w:rsidRPr="007C5B66">
        <w:rPr>
          <w:rFonts w:cs="Arial"/>
          <w:szCs w:val="24"/>
        </w:rPr>
        <w:t>(4)</w:t>
      </w:r>
      <w:r w:rsidRPr="007C5B66">
        <w:rPr>
          <w:rFonts w:cs="Arial"/>
          <w:szCs w:val="24"/>
        </w:rPr>
        <w:tab/>
        <w:t>Zůstatky účtů majetku a jiných aktiv, závazků včetně dluhů a jiných pasiv převede účetní jednotka k prvnímu dni následujícího účetního období do knihy pohledávek a závazků a do pomocných knih ostatních složek majetku.  Dlouhodobý majetek převede do pomocné knihy ostatních složek majetku ve výši jeho ocenění v účetnictví vedeného v plném nebo ve zjednodušeném rozsahu.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ind w:left="426" w:hanging="360"/>
        <w:jc w:val="both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C5B66">
        <w:rPr>
          <w:rFonts w:cs="Arial"/>
          <w:szCs w:val="24"/>
        </w:rPr>
        <w:t>(5)</w:t>
      </w:r>
      <w:r w:rsidRPr="007C5B66">
        <w:rPr>
          <w:rFonts w:cs="Arial"/>
          <w:szCs w:val="24"/>
        </w:rPr>
        <w:tab/>
        <w:t>Zůstatky opravných položek a rezerv vytvářených podle jiných právních předpisů</w:t>
      </w:r>
      <w:r w:rsidRPr="007C5B66">
        <w:rPr>
          <w:rStyle w:val="Znakapoznpodarou"/>
          <w:rFonts w:cs="Arial"/>
          <w:szCs w:val="24"/>
        </w:rPr>
        <w:t>3)</w:t>
      </w:r>
      <w:r w:rsidRPr="007C5B66">
        <w:rPr>
          <w:rFonts w:cs="Arial"/>
          <w:szCs w:val="24"/>
        </w:rPr>
        <w:t xml:space="preserve"> převede účetní jednotka k prvnímu dni následujícího účetního období do knihy pohledávek a závazků.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Účinnost</w:t>
      </w: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7C5B66" w:rsidRPr="007C5B66" w:rsidRDefault="007C5B66" w:rsidP="007C5B66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C5B66">
        <w:rPr>
          <w:rFonts w:cs="Arial"/>
          <w:szCs w:val="24"/>
        </w:rPr>
        <w:t>Tato vyhláška nabývá účinnosti dnem 1. ledna 2016.</w:t>
      </w:r>
    </w:p>
    <w:p w:rsidR="00257A0C" w:rsidRDefault="00257A0C" w:rsidP="007C5B66">
      <w:pPr>
        <w:widowControl w:val="0"/>
        <w:autoSpaceDE w:val="0"/>
        <w:autoSpaceDN w:val="0"/>
        <w:adjustRightInd w:val="0"/>
        <w:jc w:val="right"/>
        <w:rPr>
          <w:rFonts w:cs="Arial"/>
          <w:szCs w:val="24"/>
        </w:rPr>
      </w:pPr>
    </w:p>
    <w:p w:rsidR="00257A0C" w:rsidRDefault="00257A0C" w:rsidP="007C5B66">
      <w:pPr>
        <w:widowControl w:val="0"/>
        <w:autoSpaceDE w:val="0"/>
        <w:autoSpaceDN w:val="0"/>
        <w:adjustRightInd w:val="0"/>
        <w:jc w:val="right"/>
        <w:rPr>
          <w:rFonts w:cs="Arial"/>
          <w:szCs w:val="24"/>
        </w:rPr>
      </w:pPr>
    </w:p>
    <w:p w:rsidR="007C5B66" w:rsidRPr="007C5B66" w:rsidRDefault="00257A0C" w:rsidP="00257A0C">
      <w:pPr>
        <w:widowControl w:val="0"/>
        <w:autoSpaceDE w:val="0"/>
        <w:autoSpaceDN w:val="0"/>
        <w:adjustRightInd w:val="0"/>
        <w:ind w:left="4248"/>
        <w:rPr>
          <w:rFonts w:cs="Arial"/>
          <w:szCs w:val="24"/>
        </w:rPr>
      </w:pPr>
      <w:r>
        <w:rPr>
          <w:rFonts w:cs="Arial"/>
          <w:szCs w:val="24"/>
        </w:rPr>
        <w:t>Ministr:</w:t>
      </w:r>
      <w:r w:rsidR="007C5B66" w:rsidRPr="007C5B66">
        <w:rPr>
          <w:rFonts w:cs="Arial"/>
          <w:szCs w:val="24"/>
        </w:rPr>
        <w:br w:type="page"/>
      </w:r>
      <w:r w:rsidR="007C5B66" w:rsidRPr="007C5B66">
        <w:rPr>
          <w:rFonts w:cs="Arial"/>
          <w:szCs w:val="24"/>
        </w:rPr>
        <w:lastRenderedPageBreak/>
        <w:t xml:space="preserve">Příloha č. 1 k vyhlášce </w:t>
      </w:r>
      <w:proofErr w:type="gramStart"/>
      <w:r w:rsidR="007C5B66" w:rsidRPr="007C5B66">
        <w:rPr>
          <w:rFonts w:cs="Arial"/>
          <w:szCs w:val="24"/>
        </w:rPr>
        <w:t>č. .../2015</w:t>
      </w:r>
      <w:proofErr w:type="gramEnd"/>
      <w:r w:rsidR="007C5B66" w:rsidRPr="007C5B66">
        <w:rPr>
          <w:rFonts w:cs="Arial"/>
          <w:szCs w:val="24"/>
        </w:rPr>
        <w:t xml:space="preserve"> Sb.</w:t>
      </w:r>
    </w:p>
    <w:p w:rsidR="007C5B66" w:rsidRPr="007C5B66" w:rsidRDefault="007C5B66" w:rsidP="007C5B66">
      <w:pPr>
        <w:rPr>
          <w:rFonts w:cs="Arial"/>
          <w:b/>
          <w:szCs w:val="24"/>
        </w:rPr>
      </w:pP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Přehled</w:t>
      </w:r>
      <w:r w:rsidRPr="007C5B66">
        <w:rPr>
          <w:rFonts w:cs="Arial"/>
          <w:b/>
          <w:i/>
          <w:color w:val="FF00FF"/>
          <w:szCs w:val="24"/>
        </w:rPr>
        <w:t xml:space="preserve"> </w:t>
      </w:r>
      <w:r w:rsidRPr="007C5B66">
        <w:rPr>
          <w:rFonts w:cs="Arial"/>
          <w:b/>
          <w:szCs w:val="24"/>
        </w:rPr>
        <w:t>o příjmech a výdajích</w:t>
      </w: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 xml:space="preserve">A. Příjmy 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01</w:t>
      </w:r>
      <w:r w:rsidRPr="007C5B66">
        <w:rPr>
          <w:rFonts w:cs="Arial"/>
          <w:szCs w:val="24"/>
        </w:rPr>
        <w:tab/>
        <w:t>Prodej zboží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02</w:t>
      </w:r>
      <w:r w:rsidRPr="007C5B66">
        <w:rPr>
          <w:rFonts w:cs="Arial"/>
          <w:szCs w:val="24"/>
        </w:rPr>
        <w:tab/>
        <w:t xml:space="preserve">Prodej výrobků a služeb 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03</w:t>
      </w:r>
      <w:r w:rsidRPr="007C5B66">
        <w:rPr>
          <w:rFonts w:cs="Arial"/>
          <w:szCs w:val="24"/>
        </w:rPr>
        <w:tab/>
        <w:t>Příjmy z veřejných sbírek</w:t>
      </w:r>
    </w:p>
    <w:p w:rsidR="007C5B66" w:rsidRPr="007C5B66" w:rsidRDefault="007C5B66" w:rsidP="007C5B66">
      <w:pPr>
        <w:rPr>
          <w:rFonts w:cs="Arial"/>
          <w:b/>
          <w:i/>
          <w:color w:val="FF00FF"/>
          <w:szCs w:val="24"/>
        </w:rPr>
      </w:pPr>
      <w:r w:rsidRPr="007C5B66">
        <w:rPr>
          <w:rFonts w:cs="Arial"/>
          <w:szCs w:val="24"/>
        </w:rPr>
        <w:t xml:space="preserve">04  </w:t>
      </w:r>
      <w:r w:rsidRPr="007C5B66">
        <w:rPr>
          <w:rFonts w:cs="Arial"/>
          <w:szCs w:val="24"/>
        </w:rPr>
        <w:tab/>
        <w:t>Přijaté peněžní dary</w:t>
      </w:r>
      <w:r w:rsidRPr="007C5B66">
        <w:rPr>
          <w:rFonts w:cs="Arial"/>
          <w:b/>
          <w:i/>
          <w:color w:val="FF00FF"/>
          <w:szCs w:val="24"/>
        </w:rPr>
        <w:t xml:space="preserve"> </w:t>
      </w:r>
      <w:r w:rsidRPr="007C5B66">
        <w:rPr>
          <w:rFonts w:cs="Arial"/>
          <w:szCs w:val="24"/>
        </w:rPr>
        <w:t>mimo veřejné sbírky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05</w:t>
      </w:r>
      <w:r w:rsidRPr="007C5B66">
        <w:rPr>
          <w:rFonts w:cs="Arial"/>
          <w:szCs w:val="24"/>
        </w:rPr>
        <w:tab/>
        <w:t>Přijaté členské příspěvky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06</w:t>
      </w:r>
      <w:r w:rsidRPr="007C5B66">
        <w:rPr>
          <w:rFonts w:cs="Arial"/>
          <w:szCs w:val="24"/>
        </w:rPr>
        <w:tab/>
        <w:t>Dotace a příspěvky přijaté z veřejných rozpočtů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 xml:space="preserve">07 </w:t>
      </w:r>
      <w:r w:rsidRPr="007C5B66">
        <w:rPr>
          <w:rFonts w:cs="Arial"/>
          <w:szCs w:val="24"/>
        </w:rPr>
        <w:tab/>
        <w:t>Ostatní</w:t>
      </w: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 xml:space="preserve">08 </w:t>
      </w:r>
      <w:r w:rsidRPr="007C5B66">
        <w:rPr>
          <w:rFonts w:cs="Arial"/>
          <w:b/>
          <w:szCs w:val="24"/>
        </w:rPr>
        <w:tab/>
        <w:t xml:space="preserve">Příjmy celkem </w:t>
      </w: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B. Výdaje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 xml:space="preserve">01 </w:t>
      </w:r>
      <w:r w:rsidRPr="007C5B66">
        <w:rPr>
          <w:rFonts w:cs="Arial"/>
          <w:szCs w:val="24"/>
        </w:rPr>
        <w:tab/>
        <w:t xml:space="preserve">Dlouhodobý nehmotný a hmotný majetek </w:t>
      </w:r>
    </w:p>
    <w:p w:rsidR="007C5B66" w:rsidRPr="007C5B66" w:rsidRDefault="007C5B66" w:rsidP="007C5B66">
      <w:pPr>
        <w:rPr>
          <w:rFonts w:cs="Arial"/>
          <w:b/>
          <w:i/>
          <w:color w:val="FF00FF"/>
          <w:szCs w:val="24"/>
        </w:rPr>
      </w:pPr>
      <w:r w:rsidRPr="007C5B66">
        <w:rPr>
          <w:rFonts w:cs="Arial"/>
          <w:szCs w:val="24"/>
        </w:rPr>
        <w:t>02</w:t>
      </w:r>
      <w:r w:rsidRPr="007C5B66">
        <w:rPr>
          <w:rFonts w:cs="Arial"/>
          <w:szCs w:val="24"/>
        </w:rPr>
        <w:tab/>
        <w:t>Materiál</w:t>
      </w:r>
    </w:p>
    <w:p w:rsidR="007C5B66" w:rsidRPr="007C5B66" w:rsidRDefault="007C5B66" w:rsidP="007C5B66">
      <w:pPr>
        <w:rPr>
          <w:rFonts w:cs="Arial"/>
          <w:b/>
          <w:i/>
          <w:color w:val="FF00FF"/>
          <w:szCs w:val="24"/>
        </w:rPr>
      </w:pPr>
      <w:r w:rsidRPr="007C5B66">
        <w:rPr>
          <w:rFonts w:cs="Arial"/>
          <w:szCs w:val="24"/>
        </w:rPr>
        <w:t>03</w:t>
      </w:r>
      <w:r w:rsidRPr="007C5B66">
        <w:rPr>
          <w:rFonts w:cs="Arial"/>
          <w:szCs w:val="24"/>
        </w:rPr>
        <w:tab/>
        <w:t>Zboží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04</w:t>
      </w:r>
      <w:r w:rsidRPr="007C5B66">
        <w:rPr>
          <w:rFonts w:cs="Arial"/>
          <w:szCs w:val="24"/>
        </w:rPr>
        <w:tab/>
        <w:t>Služby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05</w:t>
      </w:r>
      <w:r w:rsidRPr="007C5B66">
        <w:rPr>
          <w:rFonts w:cs="Arial"/>
          <w:szCs w:val="24"/>
        </w:rPr>
        <w:tab/>
        <w:t>Mzdy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06</w:t>
      </w:r>
      <w:r w:rsidRPr="007C5B66">
        <w:rPr>
          <w:rFonts w:cs="Arial"/>
          <w:szCs w:val="24"/>
        </w:rPr>
        <w:tab/>
        <w:t>Pojistné zaměstnanců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07</w:t>
      </w:r>
      <w:r w:rsidRPr="007C5B66">
        <w:rPr>
          <w:rFonts w:cs="Arial"/>
          <w:szCs w:val="24"/>
        </w:rPr>
        <w:tab/>
        <w:t>Ostatní osobní výdaje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 xml:space="preserve">08 </w:t>
      </w:r>
      <w:r w:rsidRPr="007C5B66">
        <w:rPr>
          <w:rFonts w:cs="Arial"/>
          <w:szCs w:val="24"/>
        </w:rPr>
        <w:tab/>
        <w:t>Ostatní</w:t>
      </w: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09</w:t>
      </w:r>
      <w:r w:rsidRPr="007C5B66">
        <w:rPr>
          <w:rFonts w:cs="Arial"/>
          <w:b/>
          <w:szCs w:val="24"/>
        </w:rPr>
        <w:tab/>
        <w:t>Výdaje celkem</w:t>
      </w: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99</w:t>
      </w:r>
      <w:r w:rsidRPr="007C5B66">
        <w:rPr>
          <w:rFonts w:cs="Arial"/>
          <w:b/>
          <w:szCs w:val="24"/>
        </w:rPr>
        <w:tab/>
        <w:t>Rozdíl příjmů a výdajů</w:t>
      </w:r>
    </w:p>
    <w:p w:rsidR="007C5B66" w:rsidRPr="007C5B66" w:rsidRDefault="007C5B66" w:rsidP="007C5B66">
      <w:pPr>
        <w:jc w:val="right"/>
        <w:rPr>
          <w:rFonts w:cs="Arial"/>
          <w:szCs w:val="24"/>
        </w:rPr>
      </w:pPr>
      <w:r w:rsidRPr="007C5B66">
        <w:rPr>
          <w:rFonts w:cs="Arial"/>
          <w:b/>
          <w:szCs w:val="24"/>
        </w:rPr>
        <w:br w:type="page"/>
      </w:r>
      <w:r w:rsidRPr="007C5B66">
        <w:rPr>
          <w:rFonts w:cs="Arial"/>
          <w:szCs w:val="24"/>
        </w:rPr>
        <w:lastRenderedPageBreak/>
        <w:t xml:space="preserve">Příloha č. 2 k vyhlášce </w:t>
      </w:r>
      <w:proofErr w:type="gramStart"/>
      <w:r w:rsidRPr="007C5B66">
        <w:rPr>
          <w:rFonts w:cs="Arial"/>
          <w:szCs w:val="24"/>
        </w:rPr>
        <w:t>č. .../2015</w:t>
      </w:r>
      <w:proofErr w:type="gramEnd"/>
      <w:r w:rsidRPr="007C5B66">
        <w:rPr>
          <w:rFonts w:cs="Arial"/>
          <w:szCs w:val="24"/>
        </w:rPr>
        <w:t xml:space="preserve"> Sb.</w:t>
      </w: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Přehled o majetku a závazcích</w:t>
      </w: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 xml:space="preserve">A. Majetek 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01</w:t>
      </w:r>
      <w:r w:rsidRPr="007C5B66">
        <w:rPr>
          <w:rFonts w:cs="Arial"/>
          <w:szCs w:val="24"/>
        </w:rPr>
        <w:tab/>
        <w:t>Dlouhodobý nehmotný majetek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02</w:t>
      </w:r>
      <w:r w:rsidRPr="007C5B66">
        <w:rPr>
          <w:rFonts w:cs="Arial"/>
          <w:szCs w:val="24"/>
        </w:rPr>
        <w:tab/>
        <w:t xml:space="preserve">Dlouhodobý hmotný majetek 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 xml:space="preserve">03 </w:t>
      </w:r>
      <w:r w:rsidRPr="007C5B66">
        <w:rPr>
          <w:rFonts w:cs="Arial"/>
          <w:szCs w:val="24"/>
        </w:rPr>
        <w:tab/>
        <w:t>Finanční majetek</w:t>
      </w:r>
    </w:p>
    <w:p w:rsidR="007C5B66" w:rsidRPr="007C5B66" w:rsidRDefault="007C5B66" w:rsidP="007C5B66">
      <w:pPr>
        <w:rPr>
          <w:rFonts w:cs="Arial"/>
          <w:b/>
          <w:i/>
          <w:color w:val="FF00FF"/>
          <w:szCs w:val="24"/>
        </w:rPr>
      </w:pPr>
      <w:r w:rsidRPr="007C5B66">
        <w:rPr>
          <w:rFonts w:cs="Arial"/>
          <w:szCs w:val="24"/>
        </w:rPr>
        <w:t xml:space="preserve">04 </w:t>
      </w:r>
      <w:r w:rsidRPr="007C5B66">
        <w:rPr>
          <w:rFonts w:cs="Arial"/>
          <w:szCs w:val="24"/>
        </w:rPr>
        <w:tab/>
        <w:t>Peněžní prostředky v </w:t>
      </w:r>
      <w:proofErr w:type="gramStart"/>
      <w:r w:rsidRPr="007C5B66">
        <w:rPr>
          <w:rFonts w:cs="Arial"/>
          <w:szCs w:val="24"/>
        </w:rPr>
        <w:t>hotovosti</w:t>
      </w:r>
      <w:proofErr w:type="gramEnd"/>
      <w:r w:rsidRPr="007C5B66">
        <w:rPr>
          <w:rFonts w:cs="Arial"/>
          <w:szCs w:val="24"/>
        </w:rPr>
        <w:t xml:space="preserve"> a ceniny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05</w:t>
      </w:r>
      <w:r w:rsidRPr="007C5B66">
        <w:rPr>
          <w:rFonts w:cs="Arial"/>
          <w:szCs w:val="24"/>
        </w:rPr>
        <w:tab/>
        <w:t xml:space="preserve">Peněžní prostředky na bankovních účtech 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06</w:t>
      </w:r>
      <w:r w:rsidRPr="007C5B66">
        <w:rPr>
          <w:rFonts w:cs="Arial"/>
          <w:szCs w:val="24"/>
        </w:rPr>
        <w:tab/>
        <w:t>Zásoby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07</w:t>
      </w:r>
      <w:r w:rsidRPr="007C5B66">
        <w:rPr>
          <w:rFonts w:cs="Arial"/>
          <w:szCs w:val="24"/>
        </w:rPr>
        <w:tab/>
        <w:t>Pohledávky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09</w:t>
      </w:r>
      <w:r w:rsidRPr="007C5B66">
        <w:rPr>
          <w:rFonts w:cs="Arial"/>
          <w:szCs w:val="24"/>
        </w:rPr>
        <w:tab/>
        <w:t>Úvěry a zápůjčky poskytnuté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10</w:t>
      </w:r>
      <w:r w:rsidRPr="007C5B66">
        <w:rPr>
          <w:rFonts w:cs="Arial"/>
          <w:szCs w:val="24"/>
        </w:rPr>
        <w:tab/>
        <w:t>Ostatní majetek</w:t>
      </w: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 xml:space="preserve">11 </w:t>
      </w:r>
      <w:r w:rsidRPr="007C5B66">
        <w:rPr>
          <w:rFonts w:cs="Arial"/>
          <w:b/>
          <w:szCs w:val="24"/>
        </w:rPr>
        <w:tab/>
        <w:t xml:space="preserve">Majetek celkem </w:t>
      </w: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B. Závazky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01</w:t>
      </w:r>
      <w:r w:rsidRPr="007C5B66">
        <w:rPr>
          <w:rFonts w:cs="Arial"/>
          <w:szCs w:val="24"/>
        </w:rPr>
        <w:tab/>
        <w:t>Závazky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02</w:t>
      </w:r>
      <w:r w:rsidRPr="007C5B66">
        <w:rPr>
          <w:rFonts w:cs="Arial"/>
          <w:szCs w:val="24"/>
        </w:rPr>
        <w:tab/>
        <w:t>Úvěry a zápůjčky přijaté</w:t>
      </w:r>
    </w:p>
    <w:p w:rsidR="007C5B66" w:rsidRPr="007C5B66" w:rsidRDefault="007C5B66" w:rsidP="007C5B66">
      <w:pPr>
        <w:rPr>
          <w:rFonts w:cs="Arial"/>
          <w:szCs w:val="24"/>
        </w:rPr>
      </w:pPr>
      <w:r w:rsidRPr="007C5B66">
        <w:rPr>
          <w:rFonts w:cs="Arial"/>
          <w:szCs w:val="24"/>
        </w:rPr>
        <w:t>03</w:t>
      </w:r>
      <w:r w:rsidRPr="007C5B66">
        <w:rPr>
          <w:rFonts w:cs="Arial"/>
          <w:szCs w:val="24"/>
        </w:rPr>
        <w:tab/>
        <w:t>Ostatní závazky</w:t>
      </w: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04</w:t>
      </w:r>
      <w:r w:rsidRPr="007C5B66">
        <w:rPr>
          <w:rFonts w:cs="Arial"/>
          <w:b/>
          <w:szCs w:val="24"/>
        </w:rPr>
        <w:tab/>
        <w:t>Závazky celkem</w:t>
      </w:r>
    </w:p>
    <w:p w:rsidR="007C5B66" w:rsidRPr="007C5B66" w:rsidRDefault="007C5B66" w:rsidP="007C5B66">
      <w:pPr>
        <w:rPr>
          <w:rFonts w:cs="Arial"/>
          <w:b/>
          <w:szCs w:val="24"/>
        </w:rPr>
      </w:pPr>
      <w:r w:rsidRPr="007C5B66">
        <w:rPr>
          <w:rFonts w:cs="Arial"/>
          <w:b/>
          <w:szCs w:val="24"/>
        </w:rPr>
        <w:t>99</w:t>
      </w:r>
      <w:r w:rsidRPr="007C5B66">
        <w:rPr>
          <w:rFonts w:cs="Arial"/>
          <w:b/>
          <w:szCs w:val="24"/>
        </w:rPr>
        <w:tab/>
        <w:t>Rozdíl majetku a závazků</w:t>
      </w:r>
    </w:p>
    <w:p w:rsidR="00E64096" w:rsidRDefault="00E64096" w:rsidP="00697C8B">
      <w:pPr>
        <w:spacing w:after="5760" w:line="360" w:lineRule="auto"/>
        <w:jc w:val="center"/>
        <w:rPr>
          <w:rFonts w:cs="Arial"/>
          <w:bCs/>
          <w:szCs w:val="24"/>
        </w:rPr>
      </w:pPr>
    </w:p>
    <w:p w:rsidR="007C5B66" w:rsidRPr="00697C8B" w:rsidRDefault="007C5B66" w:rsidP="00697C8B">
      <w:pPr>
        <w:spacing w:after="5760" w:line="360" w:lineRule="auto"/>
        <w:jc w:val="center"/>
        <w:rPr>
          <w:szCs w:val="24"/>
        </w:rPr>
      </w:pPr>
    </w:p>
    <w:sectPr w:rsidR="007C5B66" w:rsidRPr="00697C8B" w:rsidSect="0013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4E" w:rsidRDefault="0033614E" w:rsidP="00697C8B">
      <w:r>
        <w:separator/>
      </w:r>
    </w:p>
  </w:endnote>
  <w:endnote w:type="continuationSeparator" w:id="0">
    <w:p w:rsidR="0033614E" w:rsidRDefault="0033614E" w:rsidP="0069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4E" w:rsidRDefault="0033614E" w:rsidP="00697C8B">
      <w:r>
        <w:separator/>
      </w:r>
    </w:p>
  </w:footnote>
  <w:footnote w:type="continuationSeparator" w:id="0">
    <w:p w:rsidR="0033614E" w:rsidRDefault="0033614E" w:rsidP="00697C8B">
      <w:r>
        <w:continuationSeparator/>
      </w:r>
    </w:p>
  </w:footnote>
  <w:footnote w:id="1">
    <w:p w:rsidR="00697C8B" w:rsidRPr="00697C8B" w:rsidRDefault="00697C8B" w:rsidP="00697C8B">
      <w:pPr>
        <w:pStyle w:val="Textpoznpodarou"/>
        <w:jc w:val="both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</w:t>
      </w:r>
      <w:r w:rsidRPr="00697C8B">
        <w:rPr>
          <w:color w:val="000000" w:themeColor="text1"/>
          <w:sz w:val="22"/>
          <w:szCs w:val="22"/>
        </w:rPr>
        <w:t>Uvede se den, v němž je vyhláška podepsána.</w:t>
      </w:r>
    </w:p>
  </w:footnote>
  <w:footnote w:id="2">
    <w:p w:rsidR="007C5B66" w:rsidRDefault="007C5B66" w:rsidP="007C5B66">
      <w:pPr>
        <w:pStyle w:val="Textpoznpodarou"/>
      </w:pPr>
      <w:r>
        <w:rPr>
          <w:rStyle w:val="Znakapoznpodarou"/>
        </w:rPr>
        <w:footnoteRef/>
      </w:r>
      <w:r w:rsidRPr="00D804AE">
        <w:rPr>
          <w:rStyle w:val="Znakapoznpodarou"/>
        </w:rPr>
        <w:t>)</w:t>
      </w:r>
      <w:r>
        <w:t xml:space="preserve"> Vyhláška č. 504/2002 Sb., kterou se provádějí ustanovení zákona č. 563/1991 Sb., o účetnictví, ve znění pozdějších předpisů pro účetní jednotky, u kterých není hlavním předmětem činnosti podnikání, pokud účtují v soustavě podvojného účetnictví.</w:t>
      </w:r>
    </w:p>
    <w:p w:rsidR="007C5B66" w:rsidRDefault="007C5B66" w:rsidP="007C5B66">
      <w:pPr>
        <w:pStyle w:val="Textpoznpodarou"/>
      </w:pPr>
    </w:p>
  </w:footnote>
  <w:footnote w:id="3">
    <w:p w:rsidR="007C5B66" w:rsidRDefault="007C5B66" w:rsidP="007C5B66">
      <w:pPr>
        <w:pStyle w:val="Textpoznpodarou"/>
      </w:pPr>
      <w:r>
        <w:rPr>
          <w:rStyle w:val="Znakapoznpodarou"/>
        </w:rPr>
        <w:footnoteRef/>
      </w:r>
      <w:r w:rsidRPr="00D804AE">
        <w:rPr>
          <w:rStyle w:val="Znakapoznpodarou"/>
        </w:rPr>
        <w:t>)</w:t>
      </w:r>
      <w:r>
        <w:t xml:space="preserve"> Například zákon č. 89/1995 Sb., o státní statistické službě, ve znění pozdějších předpisů.  </w:t>
      </w:r>
    </w:p>
  </w:footnote>
  <w:footnote w:id="4">
    <w:p w:rsidR="007C5B66" w:rsidRDefault="007C5B66" w:rsidP="007C5B66">
      <w:pPr>
        <w:pStyle w:val="Textpoznpodarou"/>
      </w:pPr>
      <w:r>
        <w:rPr>
          <w:rStyle w:val="Znakapoznpodarou"/>
        </w:rPr>
        <w:footnoteRef/>
      </w:r>
      <w:r w:rsidRPr="00D804AE">
        <w:rPr>
          <w:rStyle w:val="Znakapoznpodarou"/>
        </w:rPr>
        <w:t>)</w:t>
      </w:r>
      <w:r>
        <w:t xml:space="preserve"> Například zákon č. 593/1992 Sb., o rezervách pro zjištění základu daně z příjmů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96"/>
    <w:rsid w:val="000F4E38"/>
    <w:rsid w:val="0013095D"/>
    <w:rsid w:val="001440DD"/>
    <w:rsid w:val="00180866"/>
    <w:rsid w:val="001B5121"/>
    <w:rsid w:val="00257A0C"/>
    <w:rsid w:val="0033614E"/>
    <w:rsid w:val="003464B2"/>
    <w:rsid w:val="003D7B2D"/>
    <w:rsid w:val="0042681B"/>
    <w:rsid w:val="00616EB8"/>
    <w:rsid w:val="00697C8B"/>
    <w:rsid w:val="006E5F5B"/>
    <w:rsid w:val="007C5B66"/>
    <w:rsid w:val="00BB0B2E"/>
    <w:rsid w:val="00CB4973"/>
    <w:rsid w:val="00D97E70"/>
    <w:rsid w:val="00E6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09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D">
    <w:name w:val="Styl D"/>
    <w:basedOn w:val="Normln"/>
    <w:rsid w:val="00E64096"/>
    <w:pPr>
      <w:spacing w:line="36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unhideWhenUsed/>
    <w:rsid w:val="00697C8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7C8B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97C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09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D">
    <w:name w:val="Styl D"/>
    <w:basedOn w:val="Normln"/>
    <w:rsid w:val="00E64096"/>
    <w:pPr>
      <w:spacing w:line="36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unhideWhenUsed/>
    <w:rsid w:val="00697C8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7C8B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97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507/2002%20Sb.%25233'&amp;ucin-k-dni='30.12.9999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1A91-3284-4B7E-86C6-6BDBB582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Bezděkovská</dc:creator>
  <cp:lastModifiedBy>KACR - Pavla Psenickova</cp:lastModifiedBy>
  <cp:revision>2</cp:revision>
  <dcterms:created xsi:type="dcterms:W3CDTF">2015-09-09T11:17:00Z</dcterms:created>
  <dcterms:modified xsi:type="dcterms:W3CDTF">2015-09-09T11:17:00Z</dcterms:modified>
</cp:coreProperties>
</file>