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6F" w:rsidRDefault="005A6D6F" w:rsidP="00C1070D">
      <w:pPr>
        <w:pStyle w:val="Styl1"/>
        <w:jc w:val="center"/>
      </w:pPr>
      <w:bookmarkStart w:id="0" w:name="_GoBack"/>
      <w:bookmarkEnd w:id="0"/>
      <w:r>
        <w:t>Závěrečná zpráva z h</w:t>
      </w:r>
      <w:r w:rsidR="008D0801">
        <w:t>odnocení dopadů regulace (RIA)</w:t>
      </w:r>
    </w:p>
    <w:p w:rsidR="008D0801" w:rsidRDefault="005A6D6F" w:rsidP="00C1070D">
      <w:pPr>
        <w:pStyle w:val="Styl1"/>
        <w:jc w:val="center"/>
        <w:rPr>
          <w:sz w:val="24"/>
        </w:rPr>
      </w:pPr>
      <w:r w:rsidRPr="005A6D6F">
        <w:rPr>
          <w:sz w:val="24"/>
        </w:rPr>
        <w:t xml:space="preserve">(příloha k důvodové zprávě k zákonu o </w:t>
      </w:r>
      <w:r w:rsidR="00C1070D">
        <w:rPr>
          <w:sz w:val="24"/>
        </w:rPr>
        <w:t>prokazování původu majetku</w:t>
      </w:r>
      <w:r w:rsidRPr="005A6D6F">
        <w:rPr>
          <w:sz w:val="24"/>
        </w:rPr>
        <w:t>)</w:t>
      </w:r>
    </w:p>
    <w:p w:rsidR="00F20801" w:rsidRPr="00F20801" w:rsidRDefault="00F20801" w:rsidP="00D46036">
      <w:pPr>
        <w:pStyle w:val="Nadpis1"/>
        <w:numPr>
          <w:ilvl w:val="0"/>
          <w:numId w:val="0"/>
        </w:numPr>
        <w:ind w:left="432" w:hanging="432"/>
      </w:pPr>
      <w:r w:rsidRPr="00F20801">
        <w:t>SHRNUTÍ ZÁVĚREČNÉ ZPRÁVY RIA</w:t>
      </w:r>
    </w:p>
    <w:p w:rsidR="007A61C2" w:rsidRDefault="007A61C2" w:rsidP="007A61C2">
      <w:pPr>
        <w:spacing w:after="60"/>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6"/>
        <w:gridCol w:w="4984"/>
      </w:tblGrid>
      <w:tr w:rsidR="005A21C0" w:rsidRPr="00C51F4E" w:rsidTr="00B050F7">
        <w:tc>
          <w:tcPr>
            <w:tcW w:w="9610" w:type="dxa"/>
            <w:gridSpan w:val="2"/>
            <w:tcBorders>
              <w:top w:val="single" w:sz="12" w:space="0" w:color="auto"/>
              <w:left w:val="single" w:sz="12" w:space="0" w:color="auto"/>
              <w:bottom w:val="single" w:sz="12" w:space="0" w:color="auto"/>
              <w:right w:val="single" w:sz="12" w:space="0" w:color="auto"/>
            </w:tcBorders>
            <w:shd w:val="clear" w:color="auto" w:fill="99CCFF"/>
          </w:tcPr>
          <w:p w:rsidR="005A21C0" w:rsidRPr="00C51F4E" w:rsidRDefault="005A21C0" w:rsidP="00B050F7">
            <w:pPr>
              <w:tabs>
                <w:tab w:val="left" w:pos="6660"/>
              </w:tabs>
              <w:rPr>
                <w:rFonts w:cs="Arial"/>
                <w:bCs/>
              </w:rPr>
            </w:pPr>
            <w:r w:rsidRPr="00C51F4E">
              <w:rPr>
                <w:rFonts w:cs="Arial"/>
                <w:bCs/>
              </w:rPr>
              <w:t>1. Základní identifikační údaje</w:t>
            </w:r>
          </w:p>
        </w:tc>
      </w:tr>
      <w:tr w:rsidR="005A21C0" w:rsidRPr="008625B9" w:rsidTr="00B050F7">
        <w:tblPrEx>
          <w:tblBorders>
            <w:top w:val="single" w:sz="8" w:space="0" w:color="000000"/>
            <w:left w:val="single" w:sz="8" w:space="0" w:color="000000"/>
            <w:bottom w:val="single" w:sz="8" w:space="0" w:color="000000"/>
            <w:right w:val="single" w:sz="8" w:space="0" w:color="000000"/>
          </w:tblBorders>
        </w:tblPrEx>
        <w:trPr>
          <w:trHeight w:val="187"/>
        </w:trPr>
        <w:tc>
          <w:tcPr>
            <w:tcW w:w="9610" w:type="dxa"/>
            <w:gridSpan w:val="2"/>
            <w:tcBorders>
              <w:top w:val="single" w:sz="12" w:space="0" w:color="000000"/>
              <w:left w:val="single" w:sz="12" w:space="0" w:color="000000"/>
              <w:bottom w:val="single" w:sz="4" w:space="0" w:color="auto"/>
              <w:right w:val="single" w:sz="12" w:space="0" w:color="000000"/>
            </w:tcBorders>
            <w:shd w:val="clear" w:color="auto" w:fill="auto"/>
            <w:vAlign w:val="bottom"/>
          </w:tcPr>
          <w:p w:rsidR="005A21C0" w:rsidRDefault="005A21C0" w:rsidP="00B050F7">
            <w:pPr>
              <w:pStyle w:val="nadpiszkona"/>
              <w:rPr>
                <w:rFonts w:ascii="Calibri" w:hAnsi="Calibri" w:cs="Arial"/>
                <w:b w:val="0"/>
                <w:bCs/>
                <w:sz w:val="22"/>
                <w:szCs w:val="22"/>
                <w:lang w:eastAsia="en-US"/>
              </w:rPr>
            </w:pPr>
            <w:r w:rsidRPr="008625B9">
              <w:rPr>
                <w:rFonts w:ascii="Calibri" w:hAnsi="Calibri" w:cs="Arial"/>
                <w:b w:val="0"/>
                <w:bCs/>
                <w:sz w:val="22"/>
                <w:szCs w:val="22"/>
                <w:lang w:eastAsia="en-US"/>
              </w:rPr>
              <w:t xml:space="preserve">Název </w:t>
            </w:r>
            <w:r>
              <w:rPr>
                <w:rFonts w:ascii="Calibri" w:hAnsi="Calibri" w:cs="Arial"/>
                <w:b w:val="0"/>
                <w:bCs/>
                <w:sz w:val="22"/>
                <w:szCs w:val="22"/>
                <w:lang w:eastAsia="en-US"/>
              </w:rPr>
              <w:t xml:space="preserve">návrhu zákona: </w:t>
            </w:r>
          </w:p>
          <w:p w:rsidR="005A21C0" w:rsidRPr="008625B9" w:rsidRDefault="0034407D" w:rsidP="00B050F7">
            <w:pPr>
              <w:tabs>
                <w:tab w:val="left" w:pos="6660"/>
              </w:tabs>
              <w:jc w:val="center"/>
              <w:rPr>
                <w:rFonts w:cs="Arial"/>
                <w:bCs/>
              </w:rPr>
            </w:pPr>
            <w:r>
              <w:rPr>
                <w:rFonts w:cs="Arial"/>
                <w:bCs/>
              </w:rPr>
              <w:t>Z</w:t>
            </w:r>
            <w:r w:rsidR="005A21C0">
              <w:rPr>
                <w:rFonts w:cs="Arial"/>
                <w:bCs/>
              </w:rPr>
              <w:t>ákon o prokazování původu majetku</w:t>
            </w:r>
          </w:p>
        </w:tc>
      </w:tr>
      <w:tr w:rsidR="005A21C0" w:rsidRPr="00C51F4E" w:rsidTr="00B050F7">
        <w:tblPrEx>
          <w:tblBorders>
            <w:top w:val="single" w:sz="8" w:space="0" w:color="000000"/>
            <w:left w:val="single" w:sz="8" w:space="0" w:color="000000"/>
            <w:bottom w:val="single" w:sz="8" w:space="0" w:color="000000"/>
            <w:right w:val="single" w:sz="8" w:space="0" w:color="000000"/>
          </w:tblBorders>
        </w:tblPrEx>
        <w:trPr>
          <w:trHeight w:val="979"/>
        </w:trPr>
        <w:tc>
          <w:tcPr>
            <w:tcW w:w="4626" w:type="dxa"/>
            <w:tcBorders>
              <w:top w:val="single" w:sz="4" w:space="0" w:color="auto"/>
              <w:left w:val="single" w:sz="12" w:space="0" w:color="000000"/>
              <w:bottom w:val="single" w:sz="4" w:space="0" w:color="auto"/>
              <w:right w:val="single" w:sz="4" w:space="0" w:color="auto"/>
            </w:tcBorders>
            <w:shd w:val="clear" w:color="auto" w:fill="auto"/>
            <w:vAlign w:val="center"/>
          </w:tcPr>
          <w:p w:rsidR="005A21C0" w:rsidRPr="00C51F4E" w:rsidRDefault="005A21C0" w:rsidP="00B050F7">
            <w:pPr>
              <w:tabs>
                <w:tab w:val="left" w:pos="6660"/>
              </w:tabs>
              <w:jc w:val="center"/>
              <w:rPr>
                <w:rFonts w:cs="Arial"/>
                <w:bCs/>
              </w:rPr>
            </w:pPr>
            <w:r w:rsidRPr="00C51F4E">
              <w:rPr>
                <w:rFonts w:cs="Arial"/>
                <w:bCs/>
              </w:rPr>
              <w:t xml:space="preserve">Zpracovatel / zástupce předkladatele: </w:t>
            </w:r>
          </w:p>
          <w:p w:rsidR="005A21C0" w:rsidRPr="00C51F4E" w:rsidRDefault="005A21C0" w:rsidP="00B050F7">
            <w:pPr>
              <w:tabs>
                <w:tab w:val="left" w:pos="6660"/>
              </w:tabs>
              <w:jc w:val="center"/>
              <w:rPr>
                <w:rFonts w:cs="Arial"/>
                <w:bCs/>
                <w:u w:val="single"/>
              </w:rPr>
            </w:pPr>
            <w:r>
              <w:rPr>
                <w:rFonts w:cs="Arial"/>
                <w:bCs/>
              </w:rPr>
              <w:t>Ministerstvo financí</w:t>
            </w:r>
            <w:r w:rsidRPr="00C51F4E">
              <w:rPr>
                <w:rFonts w:cs="Arial"/>
                <w:bCs/>
                <w:u w:val="single"/>
              </w:rPr>
              <w:t xml:space="preserve"> </w:t>
            </w:r>
          </w:p>
        </w:tc>
        <w:tc>
          <w:tcPr>
            <w:tcW w:w="4984" w:type="dxa"/>
            <w:tcBorders>
              <w:top w:val="single" w:sz="4" w:space="0" w:color="auto"/>
              <w:left w:val="single" w:sz="4" w:space="0" w:color="auto"/>
              <w:bottom w:val="single" w:sz="4" w:space="0" w:color="auto"/>
              <w:right w:val="single" w:sz="12" w:space="0" w:color="000000"/>
            </w:tcBorders>
            <w:shd w:val="clear" w:color="auto" w:fill="auto"/>
            <w:vAlign w:val="center"/>
          </w:tcPr>
          <w:p w:rsidR="008A35C2" w:rsidRDefault="005A21C0" w:rsidP="008A35C2">
            <w:pPr>
              <w:tabs>
                <w:tab w:val="left" w:pos="6660"/>
              </w:tabs>
              <w:jc w:val="center"/>
              <w:rPr>
                <w:rFonts w:cs="Arial"/>
                <w:bCs/>
              </w:rPr>
            </w:pPr>
            <w:r w:rsidRPr="00C51F4E">
              <w:rPr>
                <w:rFonts w:cs="Arial"/>
                <w:bCs/>
              </w:rPr>
              <w:t>Předpok</w:t>
            </w:r>
            <w:r w:rsidR="008A35C2">
              <w:rPr>
                <w:rFonts w:cs="Arial"/>
                <w:bCs/>
              </w:rPr>
              <w:t>ládaný termín nabytí účinnosti</w:t>
            </w:r>
          </w:p>
          <w:p w:rsidR="005A21C0" w:rsidRPr="00A04F83" w:rsidRDefault="005A21C0" w:rsidP="008A35C2">
            <w:pPr>
              <w:tabs>
                <w:tab w:val="left" w:pos="6660"/>
              </w:tabs>
              <w:jc w:val="center"/>
              <w:rPr>
                <w:rFonts w:eastAsia="MS Gothic" w:cs="Arial"/>
                <w:bCs/>
                <w:noProof/>
              </w:rPr>
            </w:pPr>
            <w:r w:rsidRPr="00A04F83">
              <w:rPr>
                <w:rFonts w:eastAsia="MS Gothic" w:cs="Arial"/>
                <w:bCs/>
                <w:noProof/>
              </w:rPr>
              <w:t>1. ledna</w:t>
            </w:r>
            <w:r>
              <w:rPr>
                <w:rFonts w:eastAsia="MS Gothic" w:cs="Arial"/>
                <w:bCs/>
                <w:noProof/>
              </w:rPr>
              <w:t xml:space="preserve"> 2016</w:t>
            </w:r>
          </w:p>
        </w:tc>
      </w:tr>
      <w:tr w:rsidR="005A21C0" w:rsidRPr="00C51F4E" w:rsidTr="00B050F7">
        <w:trPr>
          <w:trHeight w:val="1080"/>
        </w:trPr>
        <w:tc>
          <w:tcPr>
            <w:tcW w:w="9610" w:type="dxa"/>
            <w:gridSpan w:val="2"/>
            <w:tcBorders>
              <w:top w:val="single" w:sz="12" w:space="0" w:color="000000"/>
              <w:left w:val="single" w:sz="12" w:space="0" w:color="000000"/>
              <w:right w:val="single" w:sz="12" w:space="0" w:color="000000"/>
            </w:tcBorders>
            <w:shd w:val="clear" w:color="auto" w:fill="auto"/>
            <w:vAlign w:val="center"/>
          </w:tcPr>
          <w:p w:rsidR="005A21C0" w:rsidRPr="00C51F4E" w:rsidRDefault="005A21C0" w:rsidP="005A21C0">
            <w:pPr>
              <w:tabs>
                <w:tab w:val="left" w:pos="6660"/>
              </w:tabs>
              <w:spacing w:before="100" w:beforeAutospacing="1" w:after="0"/>
              <w:jc w:val="left"/>
              <w:rPr>
                <w:rFonts w:cs="Arial"/>
                <w:i/>
                <w:iCs/>
                <w:u w:val="single"/>
              </w:rPr>
            </w:pPr>
            <w:r w:rsidRPr="00C51F4E">
              <w:rPr>
                <w:rFonts w:cs="Arial"/>
                <w:bCs/>
              </w:rPr>
              <w:t>Implementace práva EU:</w:t>
            </w:r>
            <w:r>
              <w:rPr>
                <w:rFonts w:cs="Arial"/>
                <w:bCs/>
              </w:rPr>
              <w:t xml:space="preserve"> Ne</w:t>
            </w:r>
            <w:r w:rsidRPr="00C51F4E">
              <w:rPr>
                <w:rFonts w:cs="Arial"/>
              </w:rPr>
              <w:t xml:space="preserve"> </w:t>
            </w:r>
          </w:p>
          <w:p w:rsidR="005A21C0" w:rsidRPr="00C51F4E" w:rsidRDefault="005A21C0" w:rsidP="00B050F7">
            <w:pPr>
              <w:tabs>
                <w:tab w:val="left" w:pos="6660"/>
              </w:tabs>
              <w:jc w:val="left"/>
              <w:rPr>
                <w:rFonts w:cs="Arial"/>
                <w:i/>
                <w:iCs/>
                <w:u w:val="single"/>
              </w:rPr>
            </w:pPr>
          </w:p>
        </w:tc>
      </w:tr>
      <w:tr w:rsidR="005A21C0" w:rsidRPr="00C51F4E" w:rsidTr="00B050F7">
        <w:tc>
          <w:tcPr>
            <w:tcW w:w="9610" w:type="dxa"/>
            <w:gridSpan w:val="2"/>
            <w:tcBorders>
              <w:top w:val="single" w:sz="12" w:space="0" w:color="auto"/>
              <w:left w:val="single" w:sz="12" w:space="0" w:color="auto"/>
              <w:bottom w:val="single" w:sz="12" w:space="0" w:color="auto"/>
              <w:right w:val="single" w:sz="12" w:space="0" w:color="auto"/>
            </w:tcBorders>
            <w:shd w:val="clear" w:color="auto" w:fill="99CCFF"/>
          </w:tcPr>
          <w:p w:rsidR="005A21C0" w:rsidRPr="00C51F4E" w:rsidRDefault="005A21C0" w:rsidP="00B050F7">
            <w:pPr>
              <w:tabs>
                <w:tab w:val="left" w:pos="6660"/>
              </w:tabs>
              <w:rPr>
                <w:rFonts w:cs="Arial"/>
                <w:bCs/>
              </w:rPr>
            </w:pPr>
            <w:r w:rsidRPr="00C51F4E">
              <w:rPr>
                <w:rFonts w:cs="Arial"/>
                <w:bCs/>
              </w:rPr>
              <w:t xml:space="preserve">2. Cíl návrhu zákona </w:t>
            </w:r>
          </w:p>
        </w:tc>
      </w:tr>
      <w:tr w:rsidR="005A21C0" w:rsidRPr="00C51F4E" w:rsidTr="00B050F7">
        <w:tc>
          <w:tcPr>
            <w:tcW w:w="9610" w:type="dxa"/>
            <w:gridSpan w:val="2"/>
            <w:tcBorders>
              <w:top w:val="single" w:sz="12" w:space="0" w:color="auto"/>
              <w:left w:val="single" w:sz="12" w:space="0" w:color="auto"/>
              <w:bottom w:val="single" w:sz="12" w:space="0" w:color="auto"/>
              <w:right w:val="single" w:sz="12" w:space="0" w:color="auto"/>
            </w:tcBorders>
            <w:shd w:val="clear" w:color="auto" w:fill="auto"/>
          </w:tcPr>
          <w:p w:rsidR="005A21C0" w:rsidRPr="00C51F4E" w:rsidRDefault="005A21C0" w:rsidP="00B050F7">
            <w:pPr>
              <w:tabs>
                <w:tab w:val="left" w:pos="1037"/>
              </w:tabs>
              <w:rPr>
                <w:rFonts w:cs="Arial"/>
                <w:bCs/>
              </w:rPr>
            </w:pPr>
            <w:r w:rsidRPr="000D4C7E">
              <w:rPr>
                <w:rFonts w:cs="Arial"/>
                <w:bCs/>
              </w:rPr>
              <w:t>Navrhovaná právní úprava má za cíl vytvořit účinný nástroj, který umožní prověřování, zda nárůst jmění pop</w:t>
            </w:r>
            <w:r w:rsidR="00E24512">
              <w:rPr>
                <w:rFonts w:cs="Arial"/>
                <w:bCs/>
              </w:rPr>
              <w:t>latníka daně z příjmů odpovídá</w:t>
            </w:r>
            <w:r w:rsidRPr="000D4C7E">
              <w:rPr>
                <w:rFonts w:cs="Arial"/>
                <w:bCs/>
              </w:rPr>
              <w:t xml:space="preserve"> příjmům, které správci daně deklaroval v minulých obdobích. Účelem je, aby nepřiznaný a nezdaněný příjem zjištěný na základě tohoto postupu byl následně zdaněn.</w:t>
            </w:r>
          </w:p>
        </w:tc>
      </w:tr>
      <w:tr w:rsidR="005A21C0" w:rsidRPr="00C51F4E" w:rsidTr="00B050F7">
        <w:tc>
          <w:tcPr>
            <w:tcW w:w="9610" w:type="dxa"/>
            <w:gridSpan w:val="2"/>
            <w:tcBorders>
              <w:top w:val="single" w:sz="4" w:space="0" w:color="auto"/>
              <w:left w:val="single" w:sz="12" w:space="0" w:color="auto"/>
              <w:bottom w:val="single" w:sz="12" w:space="0" w:color="auto"/>
              <w:right w:val="single" w:sz="12" w:space="0" w:color="auto"/>
            </w:tcBorders>
            <w:shd w:val="clear" w:color="auto" w:fill="99CCFF"/>
          </w:tcPr>
          <w:p w:rsidR="005A21C0" w:rsidRPr="00C51F4E" w:rsidRDefault="005A21C0" w:rsidP="00B050F7">
            <w:pPr>
              <w:tabs>
                <w:tab w:val="left" w:pos="1037"/>
              </w:tabs>
              <w:rPr>
                <w:rFonts w:cs="Arial"/>
                <w:bCs/>
              </w:rPr>
            </w:pPr>
            <w:r w:rsidRPr="00C51F4E">
              <w:rPr>
                <w:rFonts w:cs="Arial"/>
                <w:bCs/>
              </w:rPr>
              <w:t xml:space="preserve">3. </w:t>
            </w:r>
            <w:r w:rsidRPr="00C51F4E">
              <w:rPr>
                <w:rFonts w:cs="Arial"/>
              </w:rPr>
              <w:t>Agregované</w:t>
            </w:r>
            <w:r w:rsidRPr="00C51F4E">
              <w:rPr>
                <w:rFonts w:cs="Arial"/>
                <w:bCs/>
              </w:rPr>
              <w:t xml:space="preserve"> dopady návrhu zákona</w:t>
            </w:r>
          </w:p>
        </w:tc>
      </w:tr>
      <w:tr w:rsidR="005A21C0" w:rsidRPr="00C51F4E" w:rsidTr="00B050F7">
        <w:tc>
          <w:tcPr>
            <w:tcW w:w="9610" w:type="dxa"/>
            <w:gridSpan w:val="2"/>
            <w:tcBorders>
              <w:top w:val="single" w:sz="4" w:space="0" w:color="auto"/>
              <w:left w:val="single" w:sz="12" w:space="0" w:color="auto"/>
              <w:bottom w:val="single" w:sz="12" w:space="0" w:color="auto"/>
              <w:right w:val="single" w:sz="12" w:space="0" w:color="auto"/>
            </w:tcBorders>
            <w:shd w:val="clear" w:color="auto" w:fill="99CCFF"/>
          </w:tcPr>
          <w:p w:rsidR="005A21C0" w:rsidRPr="00C51F4E" w:rsidRDefault="005A21C0" w:rsidP="00B050F7">
            <w:pPr>
              <w:tabs>
                <w:tab w:val="left" w:pos="1037"/>
              </w:tabs>
              <w:rPr>
                <w:rFonts w:cs="Arial"/>
                <w:bCs/>
              </w:rPr>
            </w:pPr>
            <w:r w:rsidRPr="00C51F4E">
              <w:rPr>
                <w:rFonts w:cs="Arial"/>
                <w:bCs/>
              </w:rPr>
              <w:t xml:space="preserve">3.1 Dopady na státní rozpočet a ostatní veřejné rozpočty: </w:t>
            </w:r>
            <w:r>
              <w:rPr>
                <w:rFonts w:cs="Arial"/>
                <w:bCs/>
                <w:i/>
              </w:rPr>
              <w:t>Ano</w:t>
            </w:r>
          </w:p>
        </w:tc>
      </w:tr>
      <w:tr w:rsidR="005A21C0" w:rsidRPr="00C51F4E" w:rsidTr="00B050F7">
        <w:tc>
          <w:tcPr>
            <w:tcW w:w="9610" w:type="dxa"/>
            <w:gridSpan w:val="2"/>
            <w:tcBorders>
              <w:top w:val="single" w:sz="4" w:space="0" w:color="auto"/>
              <w:left w:val="single" w:sz="12" w:space="0" w:color="auto"/>
              <w:bottom w:val="single" w:sz="12" w:space="0" w:color="auto"/>
              <w:right w:val="single" w:sz="12" w:space="0" w:color="auto"/>
            </w:tcBorders>
            <w:shd w:val="clear" w:color="auto" w:fill="auto"/>
          </w:tcPr>
          <w:p w:rsidR="005A21C0" w:rsidRPr="00C51F4E" w:rsidRDefault="005A21C0" w:rsidP="00B050F7">
            <w:pPr>
              <w:tabs>
                <w:tab w:val="left" w:pos="1037"/>
              </w:tabs>
              <w:rPr>
                <w:rFonts w:cs="Arial"/>
                <w:bCs/>
              </w:rPr>
            </w:pPr>
            <w:r>
              <w:rPr>
                <w:rFonts w:cs="Arial"/>
                <w:bCs/>
              </w:rPr>
              <w:t>Lze očekávat zvýšení příjmů státního rozpočtů a dalších veřejných rozpočtů.</w:t>
            </w:r>
          </w:p>
        </w:tc>
      </w:tr>
      <w:tr w:rsidR="005A21C0" w:rsidRPr="00C51F4E" w:rsidTr="00B050F7">
        <w:tc>
          <w:tcPr>
            <w:tcW w:w="9610" w:type="dxa"/>
            <w:gridSpan w:val="2"/>
            <w:tcBorders>
              <w:top w:val="single" w:sz="4" w:space="0" w:color="auto"/>
              <w:left w:val="single" w:sz="12" w:space="0" w:color="auto"/>
              <w:bottom w:val="single" w:sz="12" w:space="0" w:color="auto"/>
              <w:right w:val="single" w:sz="12" w:space="0" w:color="auto"/>
            </w:tcBorders>
            <w:shd w:val="clear" w:color="auto" w:fill="99CCFF"/>
          </w:tcPr>
          <w:p w:rsidR="005A21C0" w:rsidRPr="00C51F4E" w:rsidRDefault="005A21C0" w:rsidP="00B050F7">
            <w:pPr>
              <w:tabs>
                <w:tab w:val="left" w:pos="1037"/>
              </w:tabs>
              <w:rPr>
                <w:rFonts w:cs="Arial"/>
                <w:bCs/>
              </w:rPr>
            </w:pPr>
            <w:r w:rsidRPr="00C51F4E">
              <w:rPr>
                <w:rFonts w:cs="Arial"/>
                <w:bCs/>
              </w:rPr>
              <w:t xml:space="preserve">3.2 Dopady na podnikatelské subjekty: </w:t>
            </w:r>
            <w:r>
              <w:rPr>
                <w:rFonts w:cs="Arial"/>
                <w:bCs/>
                <w:i/>
              </w:rPr>
              <w:t>Ano</w:t>
            </w:r>
          </w:p>
        </w:tc>
      </w:tr>
      <w:tr w:rsidR="005A21C0" w:rsidRPr="00C51F4E" w:rsidTr="00B050F7">
        <w:trPr>
          <w:trHeight w:val="369"/>
        </w:trPr>
        <w:tc>
          <w:tcPr>
            <w:tcW w:w="9610" w:type="dxa"/>
            <w:gridSpan w:val="2"/>
            <w:tcBorders>
              <w:top w:val="single" w:sz="4" w:space="0" w:color="auto"/>
              <w:left w:val="single" w:sz="12" w:space="0" w:color="auto"/>
              <w:bottom w:val="single" w:sz="12" w:space="0" w:color="auto"/>
              <w:right w:val="single" w:sz="12" w:space="0" w:color="auto"/>
            </w:tcBorders>
            <w:shd w:val="clear" w:color="auto" w:fill="auto"/>
          </w:tcPr>
          <w:p w:rsidR="005A21C0" w:rsidRPr="00C51F4E" w:rsidRDefault="005A21C0" w:rsidP="00B050F7">
            <w:pPr>
              <w:tabs>
                <w:tab w:val="left" w:pos="1037"/>
              </w:tabs>
              <w:rPr>
                <w:rFonts w:cs="Arial"/>
                <w:bCs/>
              </w:rPr>
            </w:pPr>
            <w:r>
              <w:rPr>
                <w:rFonts w:cs="Arial"/>
                <w:bCs/>
              </w:rPr>
              <w:t>Pokud podnikatelský subjekt ne</w:t>
            </w:r>
            <w:r w:rsidR="00E811A9">
              <w:rPr>
                <w:rFonts w:cs="Arial"/>
                <w:bCs/>
              </w:rPr>
              <w:t>s</w:t>
            </w:r>
            <w:r>
              <w:rPr>
                <w:rFonts w:cs="Arial"/>
                <w:bCs/>
              </w:rPr>
              <w:t>plnil řádně svou povinnost přiznat a zaplatit daň, pak na něj návrh zákona bude mít vliv. Na podnikatelské subjekty, které řádně plní své povinnosti nikoli.</w:t>
            </w:r>
          </w:p>
        </w:tc>
      </w:tr>
      <w:tr w:rsidR="005A21C0" w:rsidRPr="00C51F4E" w:rsidTr="00B050F7">
        <w:tc>
          <w:tcPr>
            <w:tcW w:w="9610" w:type="dxa"/>
            <w:gridSpan w:val="2"/>
            <w:tcBorders>
              <w:top w:val="single" w:sz="4" w:space="0" w:color="auto"/>
              <w:left w:val="single" w:sz="12" w:space="0" w:color="auto"/>
              <w:bottom w:val="single" w:sz="12" w:space="0" w:color="auto"/>
              <w:right w:val="single" w:sz="12" w:space="0" w:color="auto"/>
            </w:tcBorders>
            <w:shd w:val="clear" w:color="auto" w:fill="99CCFF"/>
          </w:tcPr>
          <w:p w:rsidR="005A21C0" w:rsidRPr="00C51F4E" w:rsidRDefault="005A21C0" w:rsidP="00B050F7">
            <w:pPr>
              <w:tabs>
                <w:tab w:val="left" w:pos="1037"/>
              </w:tabs>
              <w:rPr>
                <w:rFonts w:cs="Arial"/>
                <w:bCs/>
              </w:rPr>
            </w:pPr>
            <w:r w:rsidRPr="00C51F4E">
              <w:rPr>
                <w:rFonts w:cs="Arial"/>
                <w:bCs/>
              </w:rPr>
              <w:t>3.3 Dopady na územní samosprávné celky (obce, kraje)</w:t>
            </w:r>
            <w:r w:rsidR="00E811A9">
              <w:rPr>
                <w:rFonts w:cs="Arial"/>
                <w:bCs/>
              </w:rPr>
              <w:t>:</w:t>
            </w:r>
            <w:r w:rsidRPr="00C51F4E">
              <w:rPr>
                <w:rFonts w:cs="Arial"/>
                <w:bCs/>
              </w:rPr>
              <w:t xml:space="preserve"> </w:t>
            </w:r>
            <w:r>
              <w:rPr>
                <w:rFonts w:cs="Arial"/>
                <w:bCs/>
                <w:i/>
              </w:rPr>
              <w:t>Ano</w:t>
            </w:r>
          </w:p>
        </w:tc>
      </w:tr>
      <w:tr w:rsidR="005A21C0" w:rsidRPr="00C51F4E" w:rsidDel="007D15F9" w:rsidTr="00B050F7">
        <w:tc>
          <w:tcPr>
            <w:tcW w:w="9610" w:type="dxa"/>
            <w:gridSpan w:val="2"/>
            <w:tcBorders>
              <w:top w:val="single" w:sz="4" w:space="0" w:color="auto"/>
              <w:left w:val="single" w:sz="12" w:space="0" w:color="auto"/>
              <w:bottom w:val="single" w:sz="12" w:space="0" w:color="auto"/>
              <w:right w:val="single" w:sz="12" w:space="0" w:color="auto"/>
            </w:tcBorders>
            <w:shd w:val="clear" w:color="auto" w:fill="auto"/>
          </w:tcPr>
          <w:p w:rsidR="005A21C0" w:rsidRPr="00C51F4E" w:rsidDel="007D15F9" w:rsidRDefault="005A21C0" w:rsidP="00B050F7">
            <w:pPr>
              <w:tabs>
                <w:tab w:val="left" w:pos="1037"/>
              </w:tabs>
              <w:rPr>
                <w:rFonts w:cs="Arial"/>
                <w:bCs/>
              </w:rPr>
            </w:pPr>
            <w:r>
              <w:rPr>
                <w:rFonts w:cs="Arial"/>
                <w:bCs/>
              </w:rPr>
              <w:t>Lze předpokládat, že zákon bude mít pozitivní vliv na výběr daní z příjmů. Vyšší výnos daní z příjmů se projeví zvýšením prostředků náležejících do místních rozpočtů.</w:t>
            </w:r>
          </w:p>
        </w:tc>
      </w:tr>
      <w:tr w:rsidR="005A21C0" w:rsidRPr="00C51F4E" w:rsidTr="00B050F7">
        <w:tc>
          <w:tcPr>
            <w:tcW w:w="9610" w:type="dxa"/>
            <w:gridSpan w:val="2"/>
            <w:tcBorders>
              <w:top w:val="single" w:sz="4" w:space="0" w:color="auto"/>
              <w:left w:val="single" w:sz="12" w:space="0" w:color="auto"/>
              <w:bottom w:val="single" w:sz="12" w:space="0" w:color="auto"/>
              <w:right w:val="single" w:sz="12" w:space="0" w:color="auto"/>
            </w:tcBorders>
            <w:shd w:val="clear" w:color="auto" w:fill="99CCFF"/>
          </w:tcPr>
          <w:p w:rsidR="005A21C0" w:rsidRPr="00C51F4E" w:rsidRDefault="005A21C0" w:rsidP="005A21C0">
            <w:pPr>
              <w:tabs>
                <w:tab w:val="left" w:pos="1037"/>
                <w:tab w:val="left" w:pos="3970"/>
              </w:tabs>
              <w:rPr>
                <w:rFonts w:cs="Arial"/>
                <w:bCs/>
              </w:rPr>
            </w:pPr>
            <w:r w:rsidRPr="00C51F4E">
              <w:rPr>
                <w:rFonts w:cs="Arial"/>
                <w:bCs/>
              </w:rPr>
              <w:t xml:space="preserve">3.4 Sociální dopady: </w:t>
            </w:r>
            <w:r>
              <w:rPr>
                <w:rFonts w:cs="Arial"/>
                <w:bCs/>
              </w:rPr>
              <w:t>Ne</w:t>
            </w:r>
          </w:p>
        </w:tc>
      </w:tr>
      <w:tr w:rsidR="005A21C0" w:rsidRPr="00C51F4E" w:rsidTr="00B050F7">
        <w:tc>
          <w:tcPr>
            <w:tcW w:w="9610" w:type="dxa"/>
            <w:gridSpan w:val="2"/>
            <w:tcBorders>
              <w:top w:val="single" w:sz="4" w:space="0" w:color="auto"/>
              <w:left w:val="single" w:sz="12" w:space="0" w:color="auto"/>
              <w:bottom w:val="single" w:sz="12" w:space="0" w:color="auto"/>
              <w:right w:val="single" w:sz="12" w:space="0" w:color="auto"/>
            </w:tcBorders>
            <w:shd w:val="clear" w:color="auto" w:fill="auto"/>
          </w:tcPr>
          <w:p w:rsidR="005A21C0" w:rsidRPr="00C51F4E" w:rsidRDefault="005A21C0" w:rsidP="00B050F7">
            <w:pPr>
              <w:tabs>
                <w:tab w:val="left" w:pos="1037"/>
              </w:tabs>
              <w:rPr>
                <w:rFonts w:cs="Arial"/>
                <w:bCs/>
              </w:rPr>
            </w:pPr>
          </w:p>
        </w:tc>
      </w:tr>
      <w:tr w:rsidR="005A21C0" w:rsidRPr="00C51F4E" w:rsidTr="00B050F7">
        <w:tc>
          <w:tcPr>
            <w:tcW w:w="9610" w:type="dxa"/>
            <w:gridSpan w:val="2"/>
            <w:tcBorders>
              <w:top w:val="single" w:sz="4" w:space="0" w:color="auto"/>
              <w:left w:val="single" w:sz="12" w:space="0" w:color="auto"/>
              <w:bottom w:val="single" w:sz="12" w:space="0" w:color="auto"/>
              <w:right w:val="single" w:sz="12" w:space="0" w:color="auto"/>
            </w:tcBorders>
            <w:shd w:val="clear" w:color="auto" w:fill="99CCFF"/>
          </w:tcPr>
          <w:p w:rsidR="005A21C0" w:rsidRPr="00C51F4E" w:rsidRDefault="005A21C0" w:rsidP="00B050F7">
            <w:pPr>
              <w:tabs>
                <w:tab w:val="left" w:pos="1037"/>
              </w:tabs>
              <w:rPr>
                <w:rFonts w:cs="Arial"/>
                <w:bCs/>
              </w:rPr>
            </w:pPr>
            <w:r w:rsidRPr="00C51F4E">
              <w:rPr>
                <w:rFonts w:cs="Arial"/>
                <w:bCs/>
              </w:rPr>
              <w:t xml:space="preserve">3.5 Dopady na životní prostředí: </w:t>
            </w:r>
            <w:r>
              <w:rPr>
                <w:rFonts w:cs="Arial"/>
                <w:bCs/>
                <w:i/>
              </w:rPr>
              <w:t>Ne</w:t>
            </w:r>
          </w:p>
        </w:tc>
      </w:tr>
      <w:tr w:rsidR="005A21C0" w:rsidRPr="00C51F4E" w:rsidTr="00B050F7">
        <w:trPr>
          <w:trHeight w:val="281"/>
        </w:trPr>
        <w:tc>
          <w:tcPr>
            <w:tcW w:w="9610" w:type="dxa"/>
            <w:gridSpan w:val="2"/>
            <w:tcBorders>
              <w:top w:val="single" w:sz="4" w:space="0" w:color="auto"/>
              <w:left w:val="single" w:sz="12" w:space="0" w:color="auto"/>
              <w:bottom w:val="single" w:sz="12" w:space="0" w:color="auto"/>
              <w:right w:val="single" w:sz="12" w:space="0" w:color="auto"/>
            </w:tcBorders>
            <w:shd w:val="clear" w:color="auto" w:fill="auto"/>
          </w:tcPr>
          <w:p w:rsidR="005A21C0" w:rsidRPr="00C51F4E" w:rsidRDefault="005A21C0" w:rsidP="00B050F7">
            <w:pPr>
              <w:tabs>
                <w:tab w:val="left" w:pos="1037"/>
              </w:tabs>
              <w:rPr>
                <w:rFonts w:cs="Arial"/>
                <w:bCs/>
              </w:rPr>
            </w:pPr>
            <w:r w:rsidRPr="00C51F4E">
              <w:rPr>
                <w:rFonts w:cs="Arial"/>
                <w:bCs/>
              </w:rPr>
              <w:t xml:space="preserve"> </w:t>
            </w:r>
          </w:p>
        </w:tc>
      </w:tr>
    </w:tbl>
    <w:p w:rsidR="00B050F7" w:rsidRPr="00C82225" w:rsidRDefault="00E41713" w:rsidP="007923AC">
      <w:pPr>
        <w:pStyle w:val="Nadpis1"/>
        <w:numPr>
          <w:ilvl w:val="0"/>
          <w:numId w:val="0"/>
        </w:numPr>
        <w:ind w:left="432" w:hanging="432"/>
      </w:pPr>
      <w:r>
        <w:br w:type="column"/>
      </w:r>
      <w:r w:rsidR="00B050F7">
        <w:lastRenderedPageBreak/>
        <w:t>Okruh daňových subjektů</w:t>
      </w:r>
    </w:p>
    <w:p w:rsidR="00B050F7" w:rsidRPr="00C82225" w:rsidRDefault="00B050F7" w:rsidP="00B050F7">
      <w:pPr>
        <w:pStyle w:val="Nadpis2"/>
      </w:pPr>
      <w:r w:rsidRPr="00C82225">
        <w:t xml:space="preserve">Důvod předložení a cíle </w:t>
      </w:r>
    </w:p>
    <w:p w:rsidR="00B050F7" w:rsidRDefault="00B050F7" w:rsidP="00B050F7">
      <w:pPr>
        <w:pStyle w:val="Nadpis3"/>
      </w:pPr>
      <w:r w:rsidRPr="00C82225">
        <w:t>Název</w:t>
      </w:r>
    </w:p>
    <w:p w:rsidR="00B050F7" w:rsidRPr="00261C7A" w:rsidRDefault="00B050F7" w:rsidP="00B050F7">
      <w:r w:rsidRPr="0040173D">
        <w:t>Okruh daňových subjektů</w:t>
      </w:r>
    </w:p>
    <w:p w:rsidR="00B050F7" w:rsidRDefault="00B050F7" w:rsidP="00B050F7">
      <w:pPr>
        <w:pStyle w:val="Nadpis3"/>
        <w:pBdr>
          <w:bottom w:val="single" w:sz="4" w:space="0" w:color="95B3D7"/>
        </w:pBdr>
      </w:pPr>
      <w:r w:rsidRPr="00C82225">
        <w:t>Definice problému</w:t>
      </w:r>
    </w:p>
    <w:p w:rsidR="00B050F7" w:rsidRDefault="00B050F7" w:rsidP="00B050F7">
      <w:r>
        <w:t>Návrh právní úpravy má za cíl dopadat na daňové subjekty, u nichž je možné předpokládat existenci příjmů, které nebyly v souladu se zákonem zdaněny. Na základě návrhu zákona bude mít daňový subjekt</w:t>
      </w:r>
      <w:r w:rsidR="00E811A9">
        <w:t>, který naplní zákonem stanovená kritéria,</w:t>
      </w:r>
      <w:r>
        <w:t xml:space="preserve"> povinnost vznik a původ takových příjmů</w:t>
      </w:r>
      <w:r w:rsidR="008A35C2">
        <w:t xml:space="preserve"> (a</w:t>
      </w:r>
      <w:r w:rsidR="00E811A9">
        <w:t> </w:t>
      </w:r>
      <w:r w:rsidR="008A35C2">
        <w:t>další skutečnosti)</w:t>
      </w:r>
      <w:r>
        <w:t xml:space="preserve"> dostatečně prokázat. </w:t>
      </w:r>
      <w:r w:rsidRPr="0040173D">
        <w:rPr>
          <w:i/>
        </w:rPr>
        <w:t>A contrario</w:t>
      </w:r>
      <w:r>
        <w:t xml:space="preserve"> se právní úprava nebude vztahovat na ty daňové subjekty, u nichž pochybnosti o</w:t>
      </w:r>
      <w:r w:rsidR="00E811A9">
        <w:t> </w:t>
      </w:r>
      <w:r>
        <w:t xml:space="preserve">existenci předmětných příjmů neexistují. </w:t>
      </w:r>
      <w:r w:rsidR="00E811A9">
        <w:t>Mechanismus prokazování příjmů bude spuštěn na základě výzvy správce daně, který po předběžném posouzení dojde k závěru, že daňový subjekt</w:t>
      </w:r>
      <w:r w:rsidR="002405A3">
        <w:t xml:space="preserve"> naplnil zákonem stanovená kritéria. Nejedná se tedy o plošný nástroj.</w:t>
      </w:r>
    </w:p>
    <w:p w:rsidR="00B050F7" w:rsidRDefault="002405A3" w:rsidP="002405A3">
      <w:r>
        <w:t xml:space="preserve">Předmětem této analýzy není posouzení v zákoně navržených kritérií pro vydání výzvy k prokázání příjmů, ale </w:t>
      </w:r>
      <w:r w:rsidR="00B050F7">
        <w:t>určení okruhu daňových subjektů, na které se bude navr</w:t>
      </w:r>
      <w:r>
        <w:t>hovaná právní úprava vztahovat.</w:t>
      </w:r>
    </w:p>
    <w:p w:rsidR="00B050F7" w:rsidRDefault="00B050F7" w:rsidP="00B050F7">
      <w:pPr>
        <w:pStyle w:val="Nadpis3"/>
      </w:pPr>
      <w:r w:rsidRPr="00C82225">
        <w:t>Popis existujícího právního stavu v dané oblasti</w:t>
      </w:r>
    </w:p>
    <w:p w:rsidR="00B050F7" w:rsidRDefault="00B050F7" w:rsidP="00B050F7">
      <w:r>
        <w:t>Návrh právní úpravy prokazování příjmů vychází ze současné právní úpravy v oblasti daní z příjmů, přičemž se fakticky jedná o novelu zákona o daních z příjmů. V jisté míře je tudíž možné existující právní stav v této oblasti, konkrétně pro potřeby určení relevantního okruhu daňových subjektů, určit právě na základě zákona o daních z příjmů.</w:t>
      </w:r>
    </w:p>
    <w:p w:rsidR="00B050F7" w:rsidRDefault="00B050F7" w:rsidP="00B050F7">
      <w:r>
        <w:t>V souladu s teorií daňového práva lze obecně daňové subjekty rozdělit na poplatníky a plátce daně (srov. například § 20 daňového řádu či § 2 zákona o daních z příjmů). Poplatníkem je ten, komu je zákonem uložena daňová povinnost. Poplatníkem daně z příjmů je pak ten, jehož příjmy jsou přímo podrobeny dani.</w:t>
      </w:r>
      <w:r>
        <w:rPr>
          <w:rStyle w:val="Znakapoznpodarou"/>
        </w:rPr>
        <w:footnoteReference w:id="1"/>
      </w:r>
      <w:r>
        <w:t xml:space="preserve"> Naproti tomu plátce daně </w:t>
      </w:r>
      <w:r w:rsidR="009D5F0F">
        <w:t xml:space="preserve">je </w:t>
      </w:r>
      <w:r>
        <w:t>ten, kdo</w:t>
      </w:r>
      <w:r w:rsidR="009D5F0F">
        <w:t xml:space="preserve"> je</w:t>
      </w:r>
      <w:r>
        <w:t xml:space="preserve"> pod vlastní majetkovou odpovědností</w:t>
      </w:r>
      <w:r w:rsidR="009D5F0F">
        <w:t xml:space="preserve"> povinen</w:t>
      </w:r>
      <w:r>
        <w:t xml:space="preserve"> daň vypočítat, vybrat (či srazit) a odvést</w:t>
      </w:r>
      <w:r>
        <w:rPr>
          <w:rStyle w:val="Znakapoznpodarou"/>
        </w:rPr>
        <w:footnoteReference w:id="2"/>
      </w:r>
      <w:r>
        <w:t xml:space="preserve">, ačkoliv sám daňovou povinností zatížen není. Z povahy věci plyne, že </w:t>
      </w:r>
      <w:r w:rsidRPr="0097301A">
        <w:rPr>
          <w:b/>
        </w:rPr>
        <w:t xml:space="preserve">navrhovaná právní úprava bude cílit toliko na poplatníky </w:t>
      </w:r>
      <w:r w:rsidR="009D5F0F" w:rsidRPr="0097301A">
        <w:rPr>
          <w:b/>
        </w:rPr>
        <w:t>dan</w:t>
      </w:r>
      <w:r w:rsidR="009D5F0F">
        <w:rPr>
          <w:b/>
        </w:rPr>
        <w:t>í</w:t>
      </w:r>
      <w:r w:rsidR="009D5F0F" w:rsidRPr="0097301A">
        <w:rPr>
          <w:b/>
        </w:rPr>
        <w:t xml:space="preserve"> </w:t>
      </w:r>
      <w:r w:rsidRPr="0097301A">
        <w:rPr>
          <w:b/>
        </w:rPr>
        <w:t>z příjmů</w:t>
      </w:r>
      <w:r>
        <w:t>.</w:t>
      </w:r>
    </w:p>
    <w:p w:rsidR="00B050F7" w:rsidRDefault="00B050F7" w:rsidP="00B050F7">
      <w:r>
        <w:t>V rámci zákona o daních z příjmů pak lze poplatníky dělit na poplatníky daně z příjmů fyzických osob (srov. § 2 a násl. zákona o daních z příjmů) a na poplatníky daně z příjmů právnických osob (srov. § 17 a násl. zákona o daních z příjmů).</w:t>
      </w:r>
    </w:p>
    <w:p w:rsidR="004C7185" w:rsidRDefault="004C7185" w:rsidP="00B050F7">
      <w:r>
        <w:t>Poplatníky daně z příjmů fyzických osob jsou fyzické osoby.</w:t>
      </w:r>
    </w:p>
    <w:p w:rsidR="004C7185" w:rsidRDefault="004C7185" w:rsidP="00B050F7">
      <w:r>
        <w:t xml:space="preserve">Poplatníky daně z příjmů právnických osob jsou </w:t>
      </w:r>
      <w:r w:rsidRPr="004C7185">
        <w:t>právnické osoby, organizační složky státu, podílové fondy podle zákona upravujícího investiční společnosti a investiční fondy, podfondy akciové společnosti s proměnným základním kapitálem podle zákona upravujícího investiční společnosti a</w:t>
      </w:r>
      <w:r w:rsidR="009447FF">
        <w:t> </w:t>
      </w:r>
      <w:r w:rsidRPr="004C7185">
        <w:t>investiční fondy, fondy penzijní společnosti, kterými se rozumí fondy obhospodařované penzijní společností podle zákona upravujícího důchodové spoření a podle zákona upravujícího doplňkové penzijní spoření, dále pak svěřenské fondy podle občanského zákoníku nebo jednotky, které jsou podle právního řádu státu, podle kterého j</w:t>
      </w:r>
      <w:r w:rsidR="000A5C76">
        <w:t>sou</w:t>
      </w:r>
      <w:r w:rsidRPr="004C7185">
        <w:t xml:space="preserve"> založen</w:t>
      </w:r>
      <w:r w:rsidR="000A5C76">
        <w:t>y</w:t>
      </w:r>
      <w:r w:rsidRPr="004C7185">
        <w:t xml:space="preserve"> nebo zřízen</w:t>
      </w:r>
      <w:r w:rsidR="000A5C76">
        <w:t>y</w:t>
      </w:r>
      <w:r w:rsidRPr="004C7185">
        <w:t>, poplatníkem.</w:t>
      </w:r>
      <w:r w:rsidR="00260769">
        <w:t xml:space="preserve"> Poplatníky daně z příjmů právnických osob tak nejsou pouze právnické osoby.</w:t>
      </w:r>
    </w:p>
    <w:p w:rsidR="00B050F7" w:rsidRDefault="00B050F7" w:rsidP="00B050F7">
      <w:r>
        <w:t>Jiný způsob dělení spočívá</w:t>
      </w:r>
      <w:r w:rsidR="0087621C">
        <w:t xml:space="preserve"> v</w:t>
      </w:r>
      <w:r>
        <w:t xml:space="preserve"> </w:t>
      </w:r>
      <w:r w:rsidR="009D5F0F">
        <w:t xml:space="preserve">rozdělení poplatníků na základě </w:t>
      </w:r>
      <w:r>
        <w:t xml:space="preserve">tzv. </w:t>
      </w:r>
      <w:r w:rsidR="009D5F0F">
        <w:t xml:space="preserve">rezidence </w:t>
      </w:r>
      <w:r>
        <w:t xml:space="preserve">poplatníka </w:t>
      </w:r>
      <w:r w:rsidR="009D5F0F">
        <w:t xml:space="preserve">daní </w:t>
      </w:r>
      <w:r>
        <w:t>z</w:t>
      </w:r>
      <w:r w:rsidR="00596D19">
        <w:t> </w:t>
      </w:r>
      <w:r>
        <w:t xml:space="preserve">příjmů, kdy lze poplatníky </w:t>
      </w:r>
      <w:r w:rsidR="009D5F0F">
        <w:t xml:space="preserve">daní </w:t>
      </w:r>
      <w:r>
        <w:t>z příjmů dělit na daňové rezidenty</w:t>
      </w:r>
      <w:r w:rsidR="00AA2A63">
        <w:t xml:space="preserve"> České republiky</w:t>
      </w:r>
      <w:r>
        <w:t xml:space="preserve"> a daňové nerezidenty, přičemž poplatník může být vždy v právě jedné z těchto kategorií.</w:t>
      </w:r>
    </w:p>
    <w:p w:rsidR="00B050F7" w:rsidRDefault="00B050F7" w:rsidP="00B050F7">
      <w:r>
        <w:t xml:space="preserve">Co se týká fyzických osob, ty jsou rezidenty tehdy, </w:t>
      </w:r>
      <w:r w:rsidRPr="00C42B17">
        <w:t xml:space="preserve">pokud mají na území České republiky bydliště nebo se zde obvykle zdržují. Daňoví rezidenti České republiky mají daňovou povinnost, </w:t>
      </w:r>
      <w:r w:rsidRPr="00C42B17">
        <w:lastRenderedPageBreak/>
        <w:t>která</w:t>
      </w:r>
      <w:r w:rsidR="000D7C6E">
        <w:t> </w:t>
      </w:r>
      <w:r w:rsidRPr="00C42B17">
        <w:t>se</w:t>
      </w:r>
      <w:r w:rsidR="000D7C6E">
        <w:t> </w:t>
      </w:r>
      <w:r w:rsidRPr="00C42B17">
        <w:t>vztahuje jak na příjmy plynoucí ze zdrojů na území České republiky, tak i</w:t>
      </w:r>
      <w:r>
        <w:t xml:space="preserve"> na příjmy plynoucí ze</w:t>
      </w:r>
      <w:r w:rsidR="000D7C6E">
        <w:t> </w:t>
      </w:r>
      <w:r>
        <w:t>zdrojů v </w:t>
      </w:r>
      <w:r w:rsidRPr="00C42B17">
        <w:t>zahraničí</w:t>
      </w:r>
      <w:r>
        <w:t xml:space="preserve"> (srov. § 2 odst. 2 zákona o daních z příjmů)</w:t>
      </w:r>
      <w:r w:rsidRPr="00C42B17">
        <w:t>.</w:t>
      </w:r>
      <w:r>
        <w:t xml:space="preserve"> </w:t>
      </w:r>
      <w:r w:rsidRPr="00C42B17">
        <w:rPr>
          <w:i/>
        </w:rPr>
        <w:t>A contrario</w:t>
      </w:r>
      <w:r>
        <w:t xml:space="preserve"> jsou daňovými nerezidenty pro potřeby zákona o daních z příjmů ty fyzické osoby, na které se nevztahují podmínky daňové rezidence. Stejně tak je fyzická osoba daňovým nerezidentem tehdy, pokud to o ní stanoví mezinárodní smlouva. </w:t>
      </w:r>
      <w:r w:rsidRPr="00C42B17">
        <w:t xml:space="preserve">Daňoví nerezidenti mají </w:t>
      </w:r>
      <w:r>
        <w:t xml:space="preserve">obecně </w:t>
      </w:r>
      <w:r w:rsidRPr="00C42B17">
        <w:t>daňovou povi</w:t>
      </w:r>
      <w:r>
        <w:t>nnost, která se vztahuje jen na </w:t>
      </w:r>
      <w:r w:rsidRPr="00C42B17">
        <w:t>příjmy plynoucí ze z</w:t>
      </w:r>
      <w:r>
        <w:t>drojů na území České republiky. Jako časové kritérium pro určení toho, zda</w:t>
      </w:r>
      <w:r w:rsidR="000D7C6E">
        <w:t> </w:t>
      </w:r>
      <w:r>
        <w:t>je</w:t>
      </w:r>
      <w:r w:rsidR="000D7C6E">
        <w:t> </w:t>
      </w:r>
      <w:r>
        <w:t>či</w:t>
      </w:r>
      <w:r w:rsidR="000D7C6E">
        <w:t> </w:t>
      </w:r>
      <w:r>
        <w:t>není fyzická osoba daňovým rezidentem, slouží hranice 183 dní v příslušném kalendářním roce, po které zde tito poplatníci souvisle nebo v několika obdobích pobývají (srov. § 2 odst. 4 zákona o daních z příjmů).</w:t>
      </w:r>
    </w:p>
    <w:p w:rsidR="00B050F7" w:rsidRDefault="00B050F7" w:rsidP="00B050F7">
      <w:r>
        <w:t xml:space="preserve">V případě poplatníků </w:t>
      </w:r>
      <w:r w:rsidR="002A5110">
        <w:t>daně z příjmů</w:t>
      </w:r>
      <w:r>
        <w:t xml:space="preserve"> právnických osob se daňová rezidence určí podle toho, zda</w:t>
      </w:r>
      <w:r w:rsidR="000D7C6E">
        <w:t> </w:t>
      </w:r>
      <w:r>
        <w:t>na</w:t>
      </w:r>
      <w:r w:rsidR="000D7C6E">
        <w:t> </w:t>
      </w:r>
      <w:r>
        <w:t>území České republiky mají své sídlo nebo místo svého vedení, eventuálně pokud tak stanoví mezinárodní smlouva (srov. § 17 odst. 3 a 4 zákona o daních z příjmů).</w:t>
      </w:r>
    </w:p>
    <w:p w:rsidR="00B050F7" w:rsidRDefault="00B050F7" w:rsidP="00395E1E">
      <w:pPr>
        <w:pStyle w:val="Nadpis3"/>
        <w:keepNext/>
      </w:pPr>
      <w:r w:rsidRPr="00C82225">
        <w:t>Identifikace dotčených subjektů</w:t>
      </w:r>
    </w:p>
    <w:p w:rsidR="00B050F7" w:rsidRPr="00745F2D" w:rsidRDefault="00B050F7" w:rsidP="00B050F7">
      <w:pPr>
        <w:spacing w:before="120"/>
        <w:rPr>
          <w:b/>
          <w:u w:val="single"/>
        </w:rPr>
      </w:pPr>
      <w:r>
        <w:rPr>
          <w:b/>
          <w:u w:val="single"/>
        </w:rPr>
        <w:t xml:space="preserve">Poplatníci </w:t>
      </w:r>
      <w:r w:rsidR="002A5110">
        <w:rPr>
          <w:b/>
          <w:u w:val="single"/>
        </w:rPr>
        <w:t xml:space="preserve">daní </w:t>
      </w:r>
      <w:r>
        <w:rPr>
          <w:b/>
          <w:u w:val="single"/>
        </w:rPr>
        <w:t>z příjmů</w:t>
      </w:r>
    </w:p>
    <w:p w:rsidR="00B050F7" w:rsidRDefault="00B96CEB" w:rsidP="00B050F7">
      <w:pPr>
        <w:spacing w:before="120"/>
      </w:pPr>
      <w:r>
        <w:t>D</w:t>
      </w:r>
      <w:r w:rsidR="00B050F7">
        <w:t xml:space="preserve">otčenými subjekty budou primárně poplatníci </w:t>
      </w:r>
      <w:r w:rsidR="00240C57">
        <w:t xml:space="preserve">daní </w:t>
      </w:r>
      <w:r w:rsidR="00B050F7">
        <w:t xml:space="preserve">z příjmů. </w:t>
      </w:r>
    </w:p>
    <w:p w:rsidR="00B050F7" w:rsidRPr="003D3E09" w:rsidRDefault="00B050F7" w:rsidP="00B050F7">
      <w:r>
        <w:t>Jelikož se pro účely prokazování příjmů jeví jako nevhodné posuzovat kritérium rezidence poplatníka (čímž by navíc mohla být mj. ohrožena ústavnost takové právní úpravy, neboť by byla porušena zásada rovnosti</w:t>
      </w:r>
      <w:r w:rsidR="00240C57">
        <w:t xml:space="preserve"> na ústavní úrovni vyjádřená v čl. 1 Listiny základních práv a svobod</w:t>
      </w:r>
      <w:r>
        <w:t xml:space="preserve">), </w:t>
      </w:r>
      <w:r w:rsidRPr="00287194">
        <w:rPr>
          <w:b/>
        </w:rPr>
        <w:t>předpokládá následující text, že se práv</w:t>
      </w:r>
      <w:r>
        <w:rPr>
          <w:b/>
        </w:rPr>
        <w:t>ní úprava bude vztahovat jak na </w:t>
      </w:r>
      <w:r w:rsidRPr="00287194">
        <w:rPr>
          <w:b/>
        </w:rPr>
        <w:t>poplatníky rezidenty, tak</w:t>
      </w:r>
      <w:r w:rsidR="000D7C6E">
        <w:rPr>
          <w:b/>
        </w:rPr>
        <w:t> </w:t>
      </w:r>
      <w:r w:rsidRPr="00287194">
        <w:rPr>
          <w:b/>
        </w:rPr>
        <w:t>na</w:t>
      </w:r>
      <w:r w:rsidR="000D7C6E">
        <w:rPr>
          <w:b/>
        </w:rPr>
        <w:t> </w:t>
      </w:r>
      <w:r w:rsidRPr="00287194">
        <w:rPr>
          <w:b/>
        </w:rPr>
        <w:t>poplatníky nerezidenty</w:t>
      </w:r>
      <w:r>
        <w:t>.</w:t>
      </w:r>
    </w:p>
    <w:p w:rsidR="00B050F7" w:rsidRDefault="00B050F7" w:rsidP="00B050F7">
      <w:pPr>
        <w:spacing w:before="120"/>
      </w:pPr>
      <w:r>
        <w:t xml:space="preserve">Na základě dalšího řešení pak vyplyne, zda se bude jednat o </w:t>
      </w:r>
      <w:r w:rsidR="00240C57">
        <w:t xml:space="preserve">poplatníky daně z příjmů fyzických osob, tak </w:t>
      </w:r>
      <w:r w:rsidR="00B96CEB">
        <w:t xml:space="preserve">o </w:t>
      </w:r>
      <w:r w:rsidR="00240C57">
        <w:t>poplatníky daně z příjmů právnických osob,</w:t>
      </w:r>
      <w:r>
        <w:t xml:space="preserve"> nebo pouze o některou z těchto kategorií.</w:t>
      </w:r>
    </w:p>
    <w:p w:rsidR="00B050F7" w:rsidRPr="00745F2D" w:rsidRDefault="00B050F7" w:rsidP="00FB4118">
      <w:pPr>
        <w:keepNext/>
        <w:spacing w:before="120"/>
        <w:rPr>
          <w:b/>
          <w:u w:val="single"/>
        </w:rPr>
      </w:pPr>
      <w:r>
        <w:rPr>
          <w:b/>
          <w:u w:val="single"/>
        </w:rPr>
        <w:t>Správci daní z příjmů</w:t>
      </w:r>
    </w:p>
    <w:p w:rsidR="00B050F7" w:rsidRDefault="00B050F7" w:rsidP="00B050F7">
      <w:pPr>
        <w:spacing w:before="120"/>
        <w:rPr>
          <w:b/>
          <w:u w:val="single"/>
        </w:rPr>
      </w:pPr>
      <w:r>
        <w:t xml:space="preserve">Jako </w:t>
      </w:r>
      <w:r w:rsidR="00B96CEB">
        <w:t>orgány</w:t>
      </w:r>
      <w:r>
        <w:t xml:space="preserve"> spravující prokazované příjmy pak budou vystupovat správci daní z příjmů, kterými jsou v souladu s</w:t>
      </w:r>
      <w:r w:rsidR="00240C57">
        <w:t xml:space="preserve"> platnou a </w:t>
      </w:r>
      <w:r>
        <w:t xml:space="preserve">účinnou právní úpravou orgány Finanční správy České republiky. Pro správce daní z příjmů nová právní úprava znamená jednak běžné proškolení se v nové právní úpravě, jednak lze předpokládat zvýšenou administrativní zátěž vyplývající z nových postupů, které povedou k prokazování původu majetku. Míra zvýšení administrativní zátěže se bude přímo odvíjet od šíře okruhu poplatníků </w:t>
      </w:r>
      <w:r w:rsidR="00240C57">
        <w:t xml:space="preserve">daní </w:t>
      </w:r>
      <w:r>
        <w:t>z příjmů, která bude zvolena. Na druhou stranu nové instituty v případě vhodné aplikace přispějí jednak k řádnému naplnění základního cíle správy daní, jednak ke zvýšení erudice úředních osob správce daně.</w:t>
      </w:r>
      <w:r w:rsidRPr="00AE5C70">
        <w:rPr>
          <w:b/>
          <w:u w:val="single"/>
        </w:rPr>
        <w:t xml:space="preserve"> </w:t>
      </w:r>
    </w:p>
    <w:p w:rsidR="00B050F7" w:rsidRDefault="00B050F7" w:rsidP="00B050F7">
      <w:pPr>
        <w:pStyle w:val="Nadpis3"/>
        <w:keepNext/>
      </w:pPr>
      <w:r w:rsidRPr="00C82225">
        <w:t>Popis cílového stavu</w:t>
      </w:r>
    </w:p>
    <w:p w:rsidR="00B050F7" w:rsidRDefault="00B050F7" w:rsidP="00B050F7">
      <w:pPr>
        <w:keepNext/>
      </w:pPr>
      <w:r>
        <w:t xml:space="preserve">Cílem návrhu právní úpravy je zvolit takový okruh daňových subjektů, na které bude právní úprava dopadat tak, aby mohly být nové nástroje využívány efektivně a proporcionálně. </w:t>
      </w:r>
      <w:r w:rsidR="00B96CEB">
        <w:t xml:space="preserve">Účelem je, aby </w:t>
      </w:r>
      <w:r>
        <w:t>právní úprava dopadala na ty daňové subjekty, u nichž bude žádoucí prokázat vznik a původ příjmů</w:t>
      </w:r>
      <w:r w:rsidR="00B96CEB">
        <w:t xml:space="preserve"> a další skutečnosti, ale zároveň </w:t>
      </w:r>
      <w:r>
        <w:t xml:space="preserve">nebyla zbytečně zatěžující pro ty daňové subjekty, u nichž k výskytu </w:t>
      </w:r>
      <w:r w:rsidR="0075722B">
        <w:t xml:space="preserve">pochybností na straně správce daně </w:t>
      </w:r>
      <w:r>
        <w:t xml:space="preserve">nedojde. </w:t>
      </w:r>
      <w:r w:rsidR="00B96CEB">
        <w:t>Současně</w:t>
      </w:r>
      <w:r>
        <w:t xml:space="preserve"> je třeba při určení předmětného okruhu daňových subjektů vycházet z možností správce daně, tj. mít na zřeteli míru administrativní zátěže na straně správce daně.</w:t>
      </w:r>
    </w:p>
    <w:p w:rsidR="00B050F7" w:rsidRDefault="00B050F7" w:rsidP="00B050F7">
      <w:r>
        <w:t>Jinými slovy, je třeba právní úpravou „pokrýt“ šir</w:t>
      </w:r>
      <w:r w:rsidR="00B96CEB">
        <w:t xml:space="preserve">oké spektrum daňových subjektů při současném </w:t>
      </w:r>
      <w:r>
        <w:t>šetření práv těchto subjektů</w:t>
      </w:r>
      <w:r w:rsidR="00B96CEB">
        <w:t xml:space="preserve">. </w:t>
      </w:r>
      <w:r>
        <w:t>Výše uvedená kritéria je třeba nastavit proporcionálně tím způsobem, aby vedle sebe fungovala v pokud možno co nejvyšší možné rovnováze.</w:t>
      </w:r>
    </w:p>
    <w:p w:rsidR="00B050F7" w:rsidRDefault="00B050F7" w:rsidP="00B050F7">
      <w:pPr>
        <w:pStyle w:val="Nadpis3"/>
        <w:keepNext/>
      </w:pPr>
      <w:r w:rsidRPr="00C82225">
        <w:lastRenderedPageBreak/>
        <w:t>Zhodnocení rizika</w:t>
      </w:r>
    </w:p>
    <w:p w:rsidR="00B050F7" w:rsidRDefault="00B050F7" w:rsidP="00B050F7">
      <w:pPr>
        <w:keepNext/>
      </w:pPr>
      <w:r>
        <w:t xml:space="preserve">Jelikož se jedná o návrh nové právní úpravy, lze hodnotit rizika toliko </w:t>
      </w:r>
      <w:r w:rsidRPr="00153B11">
        <w:rPr>
          <w:i/>
        </w:rPr>
        <w:t>de lege ferenda</w:t>
      </w:r>
      <w:r>
        <w:t xml:space="preserve">. Riziko spočívá zejména v tom, nakolik se určení šíře okruhu daňových subjektů projeví ve funkčnosti a efektivitě nové právní úpravy a v kontextu celého právního řádu, a zda </w:t>
      </w:r>
      <w:r w:rsidR="00B96CEB">
        <w:t>její důsledky nebudou negativní.</w:t>
      </w:r>
    </w:p>
    <w:p w:rsidR="00B050F7" w:rsidRDefault="00B050F7" w:rsidP="00FB4118">
      <w:pPr>
        <w:pStyle w:val="Nadpis2"/>
        <w:keepNext/>
        <w:ind w:left="578" w:hanging="578"/>
      </w:pPr>
      <w:r w:rsidRPr="00C82225">
        <w:t>Návrh variant řešení</w:t>
      </w:r>
    </w:p>
    <w:p w:rsidR="00B050F7" w:rsidRPr="0008569F" w:rsidRDefault="00B050F7" w:rsidP="00B050F7">
      <w:pPr>
        <w:keepNext/>
        <w:spacing w:before="120"/>
        <w:rPr>
          <w:u w:val="single"/>
        </w:rPr>
      </w:pPr>
      <w:r w:rsidRPr="0008569F">
        <w:rPr>
          <w:u w:val="single"/>
        </w:rPr>
        <w:t>Varianta 0</w:t>
      </w:r>
      <w:r w:rsidR="000D7C6E">
        <w:rPr>
          <w:u w:val="single"/>
        </w:rPr>
        <w:t xml:space="preserve"> – Z</w:t>
      </w:r>
      <w:r w:rsidRPr="0008569F">
        <w:rPr>
          <w:u w:val="single"/>
        </w:rPr>
        <w:t>achování současného stavu</w:t>
      </w:r>
    </w:p>
    <w:p w:rsidR="00B050F7" w:rsidRPr="00F20F99" w:rsidRDefault="00B050F7" w:rsidP="00B050F7">
      <w:pPr>
        <w:keepNext/>
        <w:spacing w:before="120"/>
      </w:pPr>
      <w:r>
        <w:t>Jelikož v současnosti český právní řád právní úpravu prokazování původu majetku nezná, stává se tato varianta irelevantní, neboť by mohla být naplněna toliko nepřijetím návrhu zákona, resp. nepřijetím žádné novelizace současné právní úpravy</w:t>
      </w:r>
      <w:r w:rsidR="00514756">
        <w:t xml:space="preserve"> a nenaplněním požadovaného cíle</w:t>
      </w:r>
      <w:r>
        <w:t xml:space="preserve">. </w:t>
      </w:r>
      <w:r w:rsidRPr="00887F71">
        <w:rPr>
          <w:b/>
        </w:rPr>
        <w:t>Varianta 0 tak nebude dále podléhat hodnocení dopadů regulace</w:t>
      </w:r>
      <w:r>
        <w:t>.</w:t>
      </w:r>
    </w:p>
    <w:p w:rsidR="00B050F7" w:rsidRPr="0008569F" w:rsidRDefault="000D7C6E" w:rsidP="00B050F7">
      <w:pPr>
        <w:keepNext/>
        <w:spacing w:before="120"/>
        <w:rPr>
          <w:u w:val="single"/>
        </w:rPr>
      </w:pPr>
      <w:r>
        <w:rPr>
          <w:u w:val="single"/>
        </w:rPr>
        <w:t>Varianta 1 – P</w:t>
      </w:r>
      <w:r w:rsidR="00B050F7" w:rsidRPr="0008569F">
        <w:rPr>
          <w:u w:val="single"/>
        </w:rPr>
        <w:t xml:space="preserve">ouze </w:t>
      </w:r>
      <w:r w:rsidR="00514756" w:rsidRPr="0008569F">
        <w:rPr>
          <w:u w:val="single"/>
        </w:rPr>
        <w:t>poplatníci</w:t>
      </w:r>
      <w:r w:rsidR="00514756">
        <w:rPr>
          <w:u w:val="single"/>
        </w:rPr>
        <w:t xml:space="preserve"> daně z příjmů </w:t>
      </w:r>
      <w:r w:rsidR="00B050F7" w:rsidRPr="0008569F">
        <w:rPr>
          <w:u w:val="single"/>
        </w:rPr>
        <w:t>fyzick</w:t>
      </w:r>
      <w:r w:rsidR="00514756">
        <w:rPr>
          <w:u w:val="single"/>
        </w:rPr>
        <w:t>ých</w:t>
      </w:r>
      <w:r w:rsidR="00B050F7" w:rsidRPr="0008569F">
        <w:rPr>
          <w:u w:val="single"/>
        </w:rPr>
        <w:t xml:space="preserve"> osob </w:t>
      </w:r>
    </w:p>
    <w:p w:rsidR="00B050F7" w:rsidRPr="009D54CC" w:rsidRDefault="00B050F7" w:rsidP="00B050F7">
      <w:pPr>
        <w:keepNext/>
        <w:spacing w:before="120"/>
      </w:pPr>
      <w:r>
        <w:t xml:space="preserve">Tato varianta počítá s tím, že právní úprava prokazování původu příjmů by dopadala toliko na poplatníky daně z příjmů </w:t>
      </w:r>
      <w:r w:rsidR="00514756">
        <w:t xml:space="preserve">fyzických </w:t>
      </w:r>
      <w:r>
        <w:t xml:space="preserve">osob. </w:t>
      </w:r>
      <w:r w:rsidRPr="00B31D90">
        <w:rPr>
          <w:i/>
        </w:rPr>
        <w:t>A contrario</w:t>
      </w:r>
      <w:r>
        <w:t xml:space="preserve"> by byl</w:t>
      </w:r>
      <w:r w:rsidR="0069734A">
        <w:t>i</w:t>
      </w:r>
      <w:r>
        <w:t xml:space="preserve"> vyloučen</w:t>
      </w:r>
      <w:r w:rsidR="0069734A">
        <w:t>i</w:t>
      </w:r>
      <w:r w:rsidR="00514756">
        <w:t xml:space="preserve"> </w:t>
      </w:r>
      <w:r>
        <w:t>poplatníci daně z příjmů</w:t>
      </w:r>
      <w:r w:rsidR="00514756" w:rsidRPr="00514756">
        <w:t xml:space="preserve"> </w:t>
      </w:r>
      <w:r w:rsidR="00514756">
        <w:t>právnických osob</w:t>
      </w:r>
      <w:r>
        <w:t>.</w:t>
      </w:r>
    </w:p>
    <w:p w:rsidR="00B050F7" w:rsidRPr="0008569F" w:rsidRDefault="000D7C6E" w:rsidP="0008569F">
      <w:pPr>
        <w:keepNext/>
        <w:spacing w:before="120"/>
        <w:rPr>
          <w:u w:val="single"/>
        </w:rPr>
      </w:pPr>
      <w:r>
        <w:rPr>
          <w:u w:val="single"/>
        </w:rPr>
        <w:t>Varianta 2 – P</w:t>
      </w:r>
      <w:r w:rsidR="00B050F7" w:rsidRPr="0008569F">
        <w:rPr>
          <w:u w:val="single"/>
        </w:rPr>
        <w:t>ouze</w:t>
      </w:r>
      <w:r w:rsidR="00514756">
        <w:rPr>
          <w:u w:val="single"/>
        </w:rPr>
        <w:t xml:space="preserve"> </w:t>
      </w:r>
      <w:r w:rsidR="00514756" w:rsidRPr="0008569F">
        <w:rPr>
          <w:u w:val="single"/>
        </w:rPr>
        <w:t>poplatníci</w:t>
      </w:r>
      <w:r w:rsidR="00514756">
        <w:rPr>
          <w:u w:val="single"/>
        </w:rPr>
        <w:t xml:space="preserve"> daně z příjmů</w:t>
      </w:r>
      <w:r w:rsidR="00B050F7" w:rsidRPr="0008569F">
        <w:rPr>
          <w:u w:val="single"/>
        </w:rPr>
        <w:t xml:space="preserve"> právnick</w:t>
      </w:r>
      <w:r w:rsidR="00514756">
        <w:rPr>
          <w:u w:val="single"/>
        </w:rPr>
        <w:t>ých</w:t>
      </w:r>
      <w:r w:rsidR="00B050F7" w:rsidRPr="0008569F">
        <w:rPr>
          <w:u w:val="single"/>
        </w:rPr>
        <w:t xml:space="preserve"> osob</w:t>
      </w:r>
    </w:p>
    <w:p w:rsidR="00B050F7" w:rsidRDefault="00B050F7" w:rsidP="00B050F7">
      <w:pPr>
        <w:spacing w:before="120"/>
      </w:pPr>
      <w:r>
        <w:t xml:space="preserve">Tato varianta počítá s tím, že právní úprava prokazování původu příjmů by dopadala toliko na poplatníky daně z příjmů právnické osoby. </w:t>
      </w:r>
      <w:r w:rsidRPr="00B31D90">
        <w:rPr>
          <w:i/>
        </w:rPr>
        <w:t>A contrario</w:t>
      </w:r>
      <w:r>
        <w:t xml:space="preserve"> by byl</w:t>
      </w:r>
      <w:r w:rsidR="0069734A">
        <w:t xml:space="preserve">i </w:t>
      </w:r>
      <w:r>
        <w:t>vyloučen</w:t>
      </w:r>
      <w:r w:rsidR="0069734A">
        <w:t>i</w:t>
      </w:r>
      <w:r>
        <w:t xml:space="preserve"> poplatníci daně z</w:t>
      </w:r>
      <w:r w:rsidR="00514756">
        <w:t> </w:t>
      </w:r>
      <w:r>
        <w:t>příjmů</w:t>
      </w:r>
      <w:r w:rsidR="00514756">
        <w:t xml:space="preserve"> fyzických osob</w:t>
      </w:r>
      <w:r>
        <w:t xml:space="preserve">. </w:t>
      </w:r>
    </w:p>
    <w:p w:rsidR="00B050F7" w:rsidRPr="0008569F" w:rsidRDefault="00B050F7" w:rsidP="0008569F">
      <w:pPr>
        <w:keepNext/>
        <w:spacing w:before="120"/>
        <w:rPr>
          <w:u w:val="single"/>
        </w:rPr>
      </w:pPr>
      <w:r w:rsidRPr="0008569F">
        <w:rPr>
          <w:u w:val="single"/>
        </w:rPr>
        <w:t xml:space="preserve">Varianta 3 – </w:t>
      </w:r>
      <w:r w:rsidR="000D7C6E">
        <w:rPr>
          <w:u w:val="single"/>
        </w:rPr>
        <w:t>P</w:t>
      </w:r>
      <w:r w:rsidR="00514756" w:rsidRPr="0008569F">
        <w:rPr>
          <w:u w:val="single"/>
        </w:rPr>
        <w:t>oplatníci</w:t>
      </w:r>
      <w:r w:rsidR="00514756">
        <w:rPr>
          <w:u w:val="single"/>
        </w:rPr>
        <w:t xml:space="preserve"> daně z příjmů </w:t>
      </w:r>
      <w:r w:rsidR="00514756" w:rsidRPr="0008569F">
        <w:rPr>
          <w:u w:val="single"/>
        </w:rPr>
        <w:t>fyzick</w:t>
      </w:r>
      <w:r w:rsidR="00514756">
        <w:rPr>
          <w:u w:val="single"/>
        </w:rPr>
        <w:t>ých</w:t>
      </w:r>
      <w:r w:rsidR="00514756" w:rsidRPr="0008569F">
        <w:rPr>
          <w:u w:val="single"/>
        </w:rPr>
        <w:t xml:space="preserve"> osob</w:t>
      </w:r>
      <w:r w:rsidR="00514756">
        <w:rPr>
          <w:u w:val="single"/>
        </w:rPr>
        <w:t xml:space="preserve"> a </w:t>
      </w:r>
      <w:r w:rsidR="00514756" w:rsidRPr="0008569F">
        <w:rPr>
          <w:u w:val="single"/>
        </w:rPr>
        <w:t>poplatníci</w:t>
      </w:r>
      <w:r w:rsidR="00514756">
        <w:rPr>
          <w:u w:val="single"/>
        </w:rPr>
        <w:t xml:space="preserve"> daně z příjmů</w:t>
      </w:r>
      <w:r w:rsidR="00514756" w:rsidRPr="0008569F">
        <w:rPr>
          <w:u w:val="single"/>
        </w:rPr>
        <w:t xml:space="preserve"> právnick</w:t>
      </w:r>
      <w:r w:rsidR="00514756">
        <w:rPr>
          <w:u w:val="single"/>
        </w:rPr>
        <w:t>ých</w:t>
      </w:r>
      <w:r w:rsidR="00514756" w:rsidRPr="0008569F">
        <w:rPr>
          <w:u w:val="single"/>
        </w:rPr>
        <w:t xml:space="preserve"> osob</w:t>
      </w:r>
    </w:p>
    <w:p w:rsidR="00B050F7" w:rsidRDefault="00B050F7" w:rsidP="00B050F7">
      <w:pPr>
        <w:spacing w:before="120"/>
      </w:pPr>
      <w:r>
        <w:t xml:space="preserve">Tato varianta počítá s tím, že právní úprava prokazování původu příjmů by v souladu s dělením zákona o daních z příjmů dopadala </w:t>
      </w:r>
      <w:r w:rsidRPr="00F24E75">
        <w:t>na </w:t>
      </w:r>
      <w:r w:rsidR="00514756" w:rsidRPr="00F24E75">
        <w:t xml:space="preserve">poplatníky daně z příjmů fyzických osob a poplatníky daně z příjmů právnických osob, </w:t>
      </w:r>
      <w:r>
        <w:t>tj. jedná se o souhrn variant 1 a 2.</w:t>
      </w:r>
    </w:p>
    <w:p w:rsidR="00B050F7" w:rsidRPr="00C82225" w:rsidRDefault="00B050F7" w:rsidP="00B050F7">
      <w:pPr>
        <w:pStyle w:val="Nadpis2"/>
      </w:pPr>
      <w:r w:rsidRPr="00C82225">
        <w:t>Vyhodnocení nákladů a přínosů</w:t>
      </w:r>
    </w:p>
    <w:p w:rsidR="00B050F7" w:rsidRDefault="00B050F7" w:rsidP="00B050F7">
      <w:pPr>
        <w:pStyle w:val="Nadpis3"/>
      </w:pPr>
      <w:r w:rsidRPr="00C82225">
        <w:t>Identifikace nákladů a přínosů</w:t>
      </w:r>
    </w:p>
    <w:p w:rsidR="00B050F7" w:rsidRDefault="00B050F7" w:rsidP="00B050F7">
      <w:pPr>
        <w:ind w:firstLine="708"/>
        <w:outlineLvl w:val="0"/>
      </w:pPr>
      <w:r>
        <w:t>Výše uvedené varianty byly vyhodnoceny podle několika kritérií, která pokrývají přínosy (respektive šířeji klady) a náklady (respektive zápory) jednotlivých řešení. Níže je uveden stručný popis těchto kritérií.</w:t>
      </w:r>
    </w:p>
    <w:p w:rsidR="00B050F7" w:rsidRDefault="00B050F7" w:rsidP="00B050F7">
      <w:pPr>
        <w:pStyle w:val="Nadpis3"/>
        <w:keepNext/>
      </w:pPr>
      <w:r w:rsidRPr="00C82225">
        <w:t>Náklady</w:t>
      </w:r>
      <w:r>
        <w:t xml:space="preserve"> (</w:t>
      </w:r>
      <w:r w:rsidR="00331D48">
        <w:t>nevýhody</w:t>
      </w:r>
      <w:r>
        <w:t>)</w:t>
      </w:r>
    </w:p>
    <w:p w:rsidR="00B050F7" w:rsidRDefault="00B050F7" w:rsidP="00B050F7">
      <w:r>
        <w:t>Z finančního hlediska ze strany státu budou varianty 1, 2 i 3 podléhat v podstatě obdobným nákladům. Jedná se o obecné náklady, které obvykle vznikají orgánům veřejné moci v souvislosti s přijetím nové právní úpravy – náklady na proškolení příslušných zaměstnanců, náklady na eventuální změnu příslušných informačních systémů a další. Do finančních nákladů se pak může projevit též zvýšení administrativní zátěže, kdy bude nutné zvýšit kapacity dotčených orgánů veřejné moci. Některé z výše uvedených nákladů jsou ovlivněny rozsahem změn přinášených novelizací, jiné vznikají v totožné míře v nezávislosti na rozsahu těchto změn.</w:t>
      </w:r>
    </w:p>
    <w:p w:rsidR="00B050F7" w:rsidRDefault="00B050F7" w:rsidP="00B050F7">
      <w:r>
        <w:t xml:space="preserve">Na straně daňových subjektů lze zápory spatřovat v zásahu do právní jistoty, což je ovšem riziko přinášené jakoukoliv změnou právní úpravy. Čím širší okruh daňových subjektů bude zvolen, tím více daňových subjektů bude dotčeno. </w:t>
      </w:r>
      <w:r w:rsidR="009211DC">
        <w:t>N</w:t>
      </w:r>
      <w:r>
        <w:t>a druhou stranu lze uvést, že daňov</w:t>
      </w:r>
      <w:r w:rsidR="009211DC">
        <w:t>é subjekty, které řádně plní své</w:t>
      </w:r>
      <w:r>
        <w:t xml:space="preserve"> daňové povinnosti, novou právní úpravou zasaženy nebudou.</w:t>
      </w:r>
    </w:p>
    <w:p w:rsidR="00B050F7" w:rsidRDefault="00B050F7" w:rsidP="00B050F7">
      <w:r>
        <w:t>V daném případě tak nejsou spatřovány zápory nad rámec běžné novelizace právní úpravy.</w:t>
      </w:r>
    </w:p>
    <w:p w:rsidR="00B050F7" w:rsidRDefault="00B050F7" w:rsidP="00B050F7">
      <w:pPr>
        <w:pStyle w:val="Nadpis3"/>
      </w:pPr>
      <w:r w:rsidRPr="00C82225">
        <w:t>Přínosy</w:t>
      </w:r>
      <w:r>
        <w:t xml:space="preserve"> (</w:t>
      </w:r>
      <w:r w:rsidR="00331D48">
        <w:t>výhody</w:t>
      </w:r>
      <w:r>
        <w:t>)</w:t>
      </w:r>
    </w:p>
    <w:p w:rsidR="00B050F7" w:rsidRDefault="00B050F7" w:rsidP="00B050F7">
      <w:r>
        <w:t xml:space="preserve">Na potenciální přínosy přijetí navrhované právní úpravy lze nahlížet z více pohledů. </w:t>
      </w:r>
    </w:p>
    <w:p w:rsidR="0013196C" w:rsidRDefault="00B050F7" w:rsidP="00B050F7">
      <w:r>
        <w:lastRenderedPageBreak/>
        <w:t>Z pohledu fiskálního lze očekávat zvýšen</w:t>
      </w:r>
      <w:r w:rsidR="002E1A58">
        <w:t>í</w:t>
      </w:r>
      <w:r>
        <w:t xml:space="preserve"> </w:t>
      </w:r>
      <w:r w:rsidR="00122CD3">
        <w:t>výnosu dan</w:t>
      </w:r>
      <w:r w:rsidR="002E1A58">
        <w:t>í</w:t>
      </w:r>
      <w:r w:rsidR="00122CD3">
        <w:t xml:space="preserve"> z příjmů </w:t>
      </w:r>
      <w:r>
        <w:t xml:space="preserve">do </w:t>
      </w:r>
      <w:r w:rsidR="002E1A58">
        <w:t>veřejných</w:t>
      </w:r>
      <w:r>
        <w:t xml:space="preserve"> rozpočt</w:t>
      </w:r>
      <w:r w:rsidR="002E1A58">
        <w:t>ů</w:t>
      </w:r>
      <w:r>
        <w:t xml:space="preserve">, neboť dojde ke zdanění příjmů, jež </w:t>
      </w:r>
      <w:r w:rsidR="002E1A58">
        <w:t xml:space="preserve">měly být </w:t>
      </w:r>
      <w:r>
        <w:t>zdaněn</w:t>
      </w:r>
      <w:r w:rsidR="009211DC">
        <w:t xml:space="preserve">y a jež doposud zdaněny nebyly. </w:t>
      </w:r>
      <w:r>
        <w:t>Z pohledu právního dojde (</w:t>
      </w:r>
      <w:r w:rsidRPr="004409A7">
        <w:rPr>
          <w:i/>
        </w:rPr>
        <w:t>a</w:t>
      </w:r>
      <w:r w:rsidR="00596D19">
        <w:rPr>
          <w:i/>
        </w:rPr>
        <w:t> </w:t>
      </w:r>
      <w:r w:rsidRPr="004409A7">
        <w:rPr>
          <w:i/>
        </w:rPr>
        <w:t>contrario</w:t>
      </w:r>
      <w:r>
        <w:t xml:space="preserve"> vůči výše uvedeným záporům) ke zvýšení právní jistoty těch daňových subjektů, kte</w:t>
      </w:r>
      <w:r w:rsidR="009211DC">
        <w:t>ří</w:t>
      </w:r>
      <w:r>
        <w:t xml:space="preserve"> řádně pl</w:t>
      </w:r>
      <w:r w:rsidR="009211DC">
        <w:t>ní své daňové povinnosti (a kteří</w:t>
      </w:r>
      <w:r>
        <w:t xml:space="preserve"> tak fakticky nebudou novou právní úpravou </w:t>
      </w:r>
      <w:r w:rsidR="0013196C">
        <w:t>zasaženy).</w:t>
      </w:r>
    </w:p>
    <w:p w:rsidR="00B050F7" w:rsidRDefault="00B050F7" w:rsidP="00B050F7">
      <w:r>
        <w:t>Výše zmíněné teze se pak pozitivně projeví i v hledisku společenském, kde lze dále očekávat preventivní funkci navrhované právní úpravy, neboť na jejím základě budou daňové subjekty řádně tvrdit svoji daň, aby se vyhnuly případné aplikaci nově zaváděných nástrojů, které mají v jistém ohledu represivní funkci. Toto se v důsledku odrazí ve skutečnosti, že subjekty obecně budou dodržovat zákonné povinnosti, což je jeden ze základních společenských požadavků.</w:t>
      </w:r>
    </w:p>
    <w:p w:rsidR="00B050F7" w:rsidRDefault="00B050F7" w:rsidP="00DB1B9D">
      <w:pPr>
        <w:pStyle w:val="Nadpis3"/>
        <w:keepNext/>
      </w:pPr>
      <w:r w:rsidRPr="00C82225">
        <w:t>Vyhodnocení variant</w:t>
      </w:r>
    </w:p>
    <w:p w:rsidR="00B050F7" w:rsidRPr="00C82225" w:rsidRDefault="00B050F7" w:rsidP="00B050F7">
      <w:r w:rsidRPr="00C82225">
        <w:t>Jednotlivé varianty byly vyhodnoceny optikou stanovených kritérií, která vyplývala z</w:t>
      </w:r>
      <w:r>
        <w:t>e stanovených cílů a</w:t>
      </w:r>
      <w:r w:rsidRPr="00C82225">
        <w:t> identifikovaných výnosů, nákladů a rizik. Kri</w:t>
      </w:r>
      <w:r>
        <w:t>téria byla zvolena s ohledem na </w:t>
      </w:r>
      <w:r w:rsidRPr="00C82225">
        <w:t xml:space="preserve">možnost zavedení úpravy do právního řádu České republiky, na dopady návrhu na právní </w:t>
      </w:r>
      <w:r>
        <w:t>subjekty, rozpočet i společnost</w:t>
      </w:r>
      <w:r w:rsidRPr="00C82225">
        <w:t>. Argumentace hodnocení je uvedena dále.</w:t>
      </w:r>
    </w:p>
    <w:p w:rsidR="00B050F7" w:rsidRPr="00382883" w:rsidRDefault="00B050F7" w:rsidP="00B050F7">
      <w:pPr>
        <w:widowControl w:val="0"/>
        <w:spacing w:before="120"/>
      </w:pPr>
      <w:r w:rsidRPr="00382883">
        <w:rPr>
          <w:b/>
        </w:rPr>
        <w:t>Kritéria stanovená pro vyhodnocení jsou následující.</w:t>
      </w:r>
    </w:p>
    <w:p w:rsidR="00B050F7" w:rsidRPr="00FD2159" w:rsidRDefault="00B050F7" w:rsidP="00B050F7">
      <w:pPr>
        <w:pStyle w:val="Odstavecseseznamem"/>
        <w:widowControl w:val="0"/>
        <w:numPr>
          <w:ilvl w:val="0"/>
          <w:numId w:val="43"/>
        </w:numPr>
        <w:spacing w:after="0"/>
        <w:ind w:left="426" w:hanging="426"/>
        <w:jc w:val="left"/>
      </w:pPr>
      <w:r w:rsidRPr="00FD2159">
        <w:t>riziko nesouladu s ústavním pořádkem,</w:t>
      </w:r>
    </w:p>
    <w:p w:rsidR="00B050F7" w:rsidRPr="00FD2159" w:rsidRDefault="00B050F7" w:rsidP="00B050F7">
      <w:pPr>
        <w:pStyle w:val="Odstavecseseznamem"/>
        <w:widowControl w:val="0"/>
        <w:numPr>
          <w:ilvl w:val="0"/>
          <w:numId w:val="43"/>
        </w:numPr>
        <w:spacing w:after="0"/>
        <w:ind w:left="426" w:hanging="426"/>
        <w:contextualSpacing w:val="0"/>
        <w:jc w:val="left"/>
      </w:pPr>
      <w:r w:rsidRPr="00FD2159">
        <w:t>administrativní zátěž na straně subjektů,</w:t>
      </w:r>
    </w:p>
    <w:p w:rsidR="00B050F7" w:rsidRPr="00FD2159" w:rsidRDefault="00B050F7" w:rsidP="00B050F7">
      <w:pPr>
        <w:pStyle w:val="Odstavecseseznamem"/>
        <w:widowControl w:val="0"/>
        <w:numPr>
          <w:ilvl w:val="0"/>
          <w:numId w:val="43"/>
        </w:numPr>
        <w:spacing w:after="0"/>
        <w:ind w:left="426" w:hanging="426"/>
        <w:contextualSpacing w:val="0"/>
        <w:jc w:val="left"/>
      </w:pPr>
      <w:r w:rsidRPr="00FD2159">
        <w:t>administrativní zátěž na straně státu,</w:t>
      </w:r>
    </w:p>
    <w:p w:rsidR="00B050F7" w:rsidRPr="00FD2159" w:rsidRDefault="00B050F7" w:rsidP="00B050F7">
      <w:pPr>
        <w:pStyle w:val="Odstavecseseznamem"/>
        <w:widowControl w:val="0"/>
        <w:numPr>
          <w:ilvl w:val="0"/>
          <w:numId w:val="43"/>
        </w:numPr>
        <w:spacing w:after="0"/>
        <w:ind w:left="426" w:hanging="426"/>
        <w:contextualSpacing w:val="0"/>
        <w:jc w:val="left"/>
      </w:pPr>
      <w:r w:rsidRPr="00FD2159">
        <w:t>vliv na veřejné rozpočty a finanční dopad na daňové subjekty,</w:t>
      </w:r>
    </w:p>
    <w:p w:rsidR="00B050F7" w:rsidRPr="00FD2159" w:rsidRDefault="00B050F7" w:rsidP="00B050F7">
      <w:pPr>
        <w:pStyle w:val="Odstavecseseznamem"/>
        <w:widowControl w:val="0"/>
        <w:numPr>
          <w:ilvl w:val="0"/>
          <w:numId w:val="43"/>
        </w:numPr>
        <w:spacing w:after="0"/>
        <w:ind w:left="426" w:hanging="426"/>
        <w:contextualSpacing w:val="0"/>
        <w:jc w:val="left"/>
      </w:pPr>
      <w:r>
        <w:t>řádné zdanění a</w:t>
      </w:r>
    </w:p>
    <w:p w:rsidR="00B050F7" w:rsidRPr="00FD2159" w:rsidRDefault="00B050F7" w:rsidP="00B050F7">
      <w:pPr>
        <w:pStyle w:val="Odstavecseseznamem"/>
        <w:widowControl w:val="0"/>
        <w:numPr>
          <w:ilvl w:val="0"/>
          <w:numId w:val="43"/>
        </w:numPr>
        <w:spacing w:after="0"/>
        <w:ind w:left="426" w:hanging="426"/>
        <w:contextualSpacing w:val="0"/>
        <w:jc w:val="left"/>
      </w:pPr>
      <w:r w:rsidRPr="00FD2159">
        <w:t>mezinárodní srovnání.</w:t>
      </w:r>
    </w:p>
    <w:p w:rsidR="00B050F7" w:rsidRPr="00BA3A2A" w:rsidRDefault="00B050F7" w:rsidP="00B050F7">
      <w:pPr>
        <w:pStyle w:val="Nadpis4"/>
        <w:rPr>
          <w:iCs w:val="0"/>
        </w:rPr>
      </w:pPr>
      <w:r w:rsidRPr="00BA3A2A">
        <w:rPr>
          <w:iCs w:val="0"/>
        </w:rPr>
        <w:t xml:space="preserve">Riziko nesouladu s ústavním pořádkem </w:t>
      </w:r>
    </w:p>
    <w:p w:rsidR="00B050F7" w:rsidRDefault="00B050F7" w:rsidP="00B050F7">
      <w:r w:rsidRPr="00864332">
        <w:t xml:space="preserve">Kritérium nesouladu s Ústavním pořádkem vychází z nezbytnosti </w:t>
      </w:r>
      <w:r>
        <w:t>vycházet</w:t>
      </w:r>
      <w:r w:rsidRPr="00864332">
        <w:t xml:space="preserve"> při přípravě nové právní úpravy </w:t>
      </w:r>
      <w:r>
        <w:t>ze</w:t>
      </w:r>
      <w:r w:rsidRPr="00864332">
        <w:t> souladu s ústavním pořádkem i judikaturou Ústavního soudu. Ústavní soud ve svých nálezech judikoval, že zákonodárce má široký prostor pro rozhodování o předmětu, míře a rozsahu daní, poplatků a jiných obdobných peněžitých plnění.</w:t>
      </w:r>
      <w:r w:rsidRPr="00864332">
        <w:rPr>
          <w:vertAlign w:val="superscript"/>
        </w:rPr>
        <w:footnoteReference w:id="3"/>
      </w:r>
      <w:r w:rsidRPr="00864332">
        <w:t xml:space="preserve"> Zároveň však v jiném rozhodnutí deklaroval, že</w:t>
      </w:r>
      <w:r w:rsidR="00122CD3">
        <w:t> </w:t>
      </w:r>
      <w:r w:rsidRPr="00864332">
        <w:t>právo státu ukládat daně, poplatky a jiná obdobná peněžitá plnění není neomezené. Zákonodárce je povinen zohlednit kritérium rovnosti, objektivity a racionality.</w:t>
      </w:r>
      <w:r w:rsidRPr="00864332">
        <w:rPr>
          <w:vertAlign w:val="superscript"/>
        </w:rPr>
        <w:footnoteReference w:id="4"/>
      </w:r>
      <w:r w:rsidRPr="0084551D">
        <w:rPr>
          <w:vertAlign w:val="superscript"/>
        </w:rPr>
        <w:t xml:space="preserve"> </w:t>
      </w:r>
    </w:p>
    <w:p w:rsidR="00B050F7" w:rsidRDefault="00B050F7" w:rsidP="00B050F7">
      <w:pPr>
        <w:pStyle w:val="Odstavecseseznamem"/>
        <w:widowControl w:val="0"/>
        <w:ind w:left="0" w:firstLine="425"/>
        <w:contextualSpacing w:val="0"/>
      </w:pPr>
      <w:r>
        <w:t xml:space="preserve">Návrh právní úpravy je v mezích výše uvedených nálezů Ústavního soudu. </w:t>
      </w:r>
      <w:r w:rsidRPr="002C0FBC">
        <w:t xml:space="preserve">Co se týká </w:t>
      </w:r>
      <w:r>
        <w:t xml:space="preserve">konkrétního </w:t>
      </w:r>
      <w:r w:rsidRPr="002C0FBC">
        <w:t xml:space="preserve">rizika nesouladu s ústavním pořádkem v otázce rozsahu okruhu daňových subjektů, na něž se bude nová právní úprava vztahovat, je možné toto riziko spatřovat </w:t>
      </w:r>
      <w:r>
        <w:t xml:space="preserve">zejména </w:t>
      </w:r>
      <w:r w:rsidRPr="002C0FBC">
        <w:t xml:space="preserve">v otázce rovnosti jednotlivých skupin daňových subjektů před zákonem (srov. čl. 1 Listiny základních práv a svobod či § 6 daňového řádu), tj. v tom, aby </w:t>
      </w:r>
      <w:r>
        <w:t xml:space="preserve">nedocházelo k </w:t>
      </w:r>
      <w:r w:rsidRPr="002C0FBC">
        <w:t>ne</w:t>
      </w:r>
      <w:r>
        <w:t>o</w:t>
      </w:r>
      <w:r w:rsidRPr="002C0FBC">
        <w:t>důvodně</w:t>
      </w:r>
      <w:r>
        <w:t>nému</w:t>
      </w:r>
      <w:r w:rsidRPr="002C0FBC">
        <w:t xml:space="preserve"> zvýhodněn</w:t>
      </w:r>
      <w:r>
        <w:t>í</w:t>
      </w:r>
      <w:r w:rsidRPr="002C0FBC">
        <w:t xml:space="preserve"> někter</w:t>
      </w:r>
      <w:r>
        <w:t>é</w:t>
      </w:r>
      <w:r w:rsidRPr="002C0FBC">
        <w:t xml:space="preserve"> </w:t>
      </w:r>
      <w:r>
        <w:t>skupin</w:t>
      </w:r>
      <w:r w:rsidR="00122CD3">
        <w:t>y</w:t>
      </w:r>
      <w:r>
        <w:t xml:space="preserve"> daňových subjektů</w:t>
      </w:r>
      <w:r w:rsidRPr="002C0FBC">
        <w:t xml:space="preserve"> oproti skupině jiné. </w:t>
      </w:r>
    </w:p>
    <w:p w:rsidR="00B050F7" w:rsidRPr="00A711D2" w:rsidRDefault="00B050F7" w:rsidP="00B050F7">
      <w:pPr>
        <w:pStyle w:val="Odstavecseseznamem"/>
        <w:widowControl w:val="0"/>
        <w:ind w:left="0" w:firstLine="425"/>
        <w:contextualSpacing w:val="0"/>
      </w:pPr>
      <w:r w:rsidRPr="002C0FBC">
        <w:t xml:space="preserve">Z tohoto hlediska se </w:t>
      </w:r>
      <w:r w:rsidRPr="00A711D2">
        <w:t xml:space="preserve">jeví jako </w:t>
      </w:r>
      <w:r w:rsidRPr="0013196C">
        <w:rPr>
          <w:b/>
        </w:rPr>
        <w:t>nejvhodnější varianta 3</w:t>
      </w:r>
      <w:r w:rsidRPr="002C0FBC">
        <w:t>, která neupře</w:t>
      </w:r>
      <w:r>
        <w:t>dnostňuje žádnou z </w:t>
      </w:r>
      <w:r w:rsidR="00DB1B9D">
        <w:t>potenciálně</w:t>
      </w:r>
      <w:r w:rsidRPr="002C0FBC">
        <w:t xml:space="preserve"> dotčen</w:t>
      </w:r>
      <w:r w:rsidR="0013196C">
        <w:t xml:space="preserve">ých skupin daňových subjektů. </w:t>
      </w:r>
      <w:r w:rsidRPr="00A711D2">
        <w:t>Méně vhodné (a to stejnou měrou) jsou varianty 1 a 2.</w:t>
      </w:r>
    </w:p>
    <w:p w:rsidR="00B050F7" w:rsidRPr="00BA3A2A" w:rsidRDefault="00B050F7" w:rsidP="00B050F7">
      <w:pPr>
        <w:pStyle w:val="Nadpis4"/>
        <w:rPr>
          <w:iCs w:val="0"/>
        </w:rPr>
      </w:pPr>
      <w:r w:rsidRPr="00BA3A2A">
        <w:rPr>
          <w:iCs w:val="0"/>
        </w:rPr>
        <w:t xml:space="preserve">Administrativní zátěž na straně daňových subjektů </w:t>
      </w:r>
    </w:p>
    <w:p w:rsidR="00B050F7" w:rsidRPr="002C0FBC" w:rsidRDefault="00B050F7" w:rsidP="00B050F7">
      <w:r>
        <w:t>Zvýšení</w:t>
      </w:r>
      <w:r w:rsidRPr="002C0FBC">
        <w:t xml:space="preserve"> administrativní zátěže daňových subjektů lze očekávat u těch </w:t>
      </w:r>
      <w:r>
        <w:t xml:space="preserve">daňových </w:t>
      </w:r>
      <w:r w:rsidRPr="002C0FBC">
        <w:t xml:space="preserve">subjektů, které budou </w:t>
      </w:r>
      <w:r>
        <w:t xml:space="preserve">v konkrétním případě </w:t>
      </w:r>
      <w:r w:rsidRPr="002C0FBC">
        <w:t xml:space="preserve">povinny prokázat svoje příjmy. Nicméně </w:t>
      </w:r>
      <w:r>
        <w:t xml:space="preserve">i zde platí, že </w:t>
      </w:r>
      <w:r w:rsidRPr="002C0FBC">
        <w:t xml:space="preserve">administrativní zátěž musí být hodnocena vždy </w:t>
      </w:r>
      <w:r w:rsidRPr="002C0FBC">
        <w:rPr>
          <w:i/>
        </w:rPr>
        <w:t>ad hoc</w:t>
      </w:r>
      <w:r>
        <w:t xml:space="preserve"> v konkrétním případě a </w:t>
      </w:r>
      <w:r w:rsidRPr="002C0FBC">
        <w:t>nelze</w:t>
      </w:r>
      <w:r>
        <w:t xml:space="preserve"> ji</w:t>
      </w:r>
      <w:r w:rsidRPr="002C0FBC">
        <w:t xml:space="preserve"> pauš</w:t>
      </w:r>
      <w:r>
        <w:t xml:space="preserve">álně vztahovat </w:t>
      </w:r>
      <w:r w:rsidRPr="002C0FBC">
        <w:t xml:space="preserve">na </w:t>
      </w:r>
      <w:r>
        <w:t>cel</w:t>
      </w:r>
      <w:r w:rsidRPr="002C0FBC">
        <w:t xml:space="preserve">é skupiny </w:t>
      </w:r>
      <w:r>
        <w:t xml:space="preserve">daňových subjektů. Platí, že </w:t>
      </w:r>
      <w:r w:rsidRPr="002C0FBC">
        <w:t>každý daňový subjekt bude dokládat své konkrétní příjmy</w:t>
      </w:r>
      <w:r>
        <w:t xml:space="preserve"> v konkrétním případě, a to pouze tehdy, pokud </w:t>
      </w:r>
      <w:r w:rsidR="002C4096">
        <w:t xml:space="preserve">bude mít </w:t>
      </w:r>
      <w:r>
        <w:t>správc</w:t>
      </w:r>
      <w:r w:rsidR="002C4096">
        <w:t>e</w:t>
      </w:r>
      <w:r>
        <w:t xml:space="preserve"> daně o vzniku a původu jeho příjmů pochybnosti a daňový subjekt bude k jejich odstranění vyzván.</w:t>
      </w:r>
      <w:r w:rsidRPr="002C0FBC">
        <w:t xml:space="preserve"> </w:t>
      </w:r>
      <w:r>
        <w:t xml:space="preserve">Administrativní zátěž v konkrétní </w:t>
      </w:r>
      <w:r>
        <w:lastRenderedPageBreak/>
        <w:t>podobě bude představovat zejména obstarání nezbytných dokladů k prokázání původu příjmů, dále</w:t>
      </w:r>
      <w:r w:rsidR="002E1A58">
        <w:t> </w:t>
      </w:r>
      <w:r>
        <w:t>pak interakci se správcem daně atp.</w:t>
      </w:r>
    </w:p>
    <w:p w:rsidR="00B050F7" w:rsidRPr="002C0FBC" w:rsidRDefault="00B050F7" w:rsidP="00B050F7">
      <w:r w:rsidRPr="002C0FBC">
        <w:t xml:space="preserve">Z tohoto hlediska </w:t>
      </w:r>
      <w:r w:rsidRPr="002C0FBC">
        <w:rPr>
          <w:b/>
        </w:rPr>
        <w:t>není možné určit preferovanou variantu</w:t>
      </w:r>
      <w:r>
        <w:rPr>
          <w:b/>
        </w:rPr>
        <w:t xml:space="preserve">. </w:t>
      </w:r>
      <w:r w:rsidRPr="00DC20B8">
        <w:t>Administrativní zátěž z povahy věci vznikne vždy konkrétnímu daňovému subjektu, přičemž nehraje roli, zda je tento subjekt právnickou, nebo fyzickou osobou</w:t>
      </w:r>
      <w:r w:rsidR="002C4096">
        <w:t xml:space="preserve"> či non-subjektem</w:t>
      </w:r>
      <w:r w:rsidRPr="00DC20B8">
        <w:t>. Uplatní se shora uvedené pravidlo, že nelze potenciální uplatnění nástrojů navrhované právní úpravy paušálně vztahovat na celé skupiny daňových subjektů.</w:t>
      </w:r>
    </w:p>
    <w:p w:rsidR="00B050F7" w:rsidRPr="00BA3A2A" w:rsidRDefault="00B050F7" w:rsidP="00B050F7">
      <w:pPr>
        <w:pStyle w:val="Nadpis4"/>
        <w:keepNext/>
        <w:rPr>
          <w:iCs w:val="0"/>
        </w:rPr>
      </w:pPr>
      <w:r w:rsidRPr="00BA3A2A">
        <w:rPr>
          <w:iCs w:val="0"/>
        </w:rPr>
        <w:t xml:space="preserve">Administrativní zátěž na straně státu </w:t>
      </w:r>
    </w:p>
    <w:p w:rsidR="00B050F7" w:rsidRPr="002C0FBC" w:rsidRDefault="00B050F7" w:rsidP="00B050F7">
      <w:pPr>
        <w:keepNext/>
      </w:pPr>
      <w:r w:rsidRPr="002C0FBC">
        <w:t xml:space="preserve">Administrativní zátěž na straně státu (prostřednictvím správců daně) lze spatřovat ve dvou rovinách. Jednak v rovině obecné, kterou představuje přijetí nové právní úpravy a s tím spojená zátěž (proškolení zaměstnanců, sjednocení postupů, eventuálně přizpůsobení informačních systémů aj.), jednak v rovině konkrétní. Konkrétní rovinou je nutno rozumět administrativní zátěž </w:t>
      </w:r>
      <w:r>
        <w:t>vzniklou</w:t>
      </w:r>
      <w:r w:rsidRPr="002C0FBC">
        <w:t xml:space="preserve"> projedná</w:t>
      </w:r>
      <w:r w:rsidR="0013196C">
        <w:t>váním jednotlivých případů, které</w:t>
      </w:r>
      <w:r w:rsidRPr="002C0FBC">
        <w:t xml:space="preserve"> nov</w:t>
      </w:r>
      <w:r w:rsidR="0013196C">
        <w:t>á právní úprava vyvolá.</w:t>
      </w:r>
    </w:p>
    <w:p w:rsidR="00B050F7" w:rsidRPr="002C0FBC" w:rsidRDefault="00B050F7" w:rsidP="00B050F7">
      <w:r w:rsidRPr="002C0FBC">
        <w:t xml:space="preserve">Z tohoto hlediska platí, že čím užší okruh daňových subjektů, na něž bude nová právní úprava dopadat, tím nižší bude administrativní zátěž v konkrétní rovině (administrativní zátěž v obecné rovině by prakticky měla být neměnná). Na druhou stranu je nežádoucí za cenu nižší administrativní zátěže </w:t>
      </w:r>
      <w:r>
        <w:t>rezignovat na splnění základního cíle správy daní (a s tím spojený fiskální přínos)</w:t>
      </w:r>
      <w:r w:rsidRPr="002C0FBC">
        <w:t>.</w:t>
      </w:r>
    </w:p>
    <w:p w:rsidR="00B050F7" w:rsidRDefault="00B050F7" w:rsidP="00B050F7">
      <w:r w:rsidRPr="002C0FBC">
        <w:t xml:space="preserve">Nicméně, z tohoto hlediska se jako nejméně žádoucí jeví varianta 3. V případě variant 1 a 2 pak bude administrativní zátěž nižší. </w:t>
      </w:r>
      <w:r w:rsidR="007854B4">
        <w:t>S ohledem na to, že většina poplatníků daně z příjmů právnických osob vede účetnictví a správce daně disponuje větším přehledem o stavu jejich příjmů, majetku a</w:t>
      </w:r>
      <w:r w:rsidR="002E1A58">
        <w:t> </w:t>
      </w:r>
      <w:r w:rsidR="007854B4">
        <w:t xml:space="preserve">jmění, než je tomu </w:t>
      </w:r>
      <w:r w:rsidR="00044673">
        <w:t>u</w:t>
      </w:r>
      <w:r w:rsidR="007854B4">
        <w:t xml:space="preserve"> poplatníků daně z příjmů fyzických osob, lze předpokládat vyšší využitelnost navrhovaných nástrojů u fyzických osob. </w:t>
      </w:r>
      <w:r w:rsidR="00044673">
        <w:t xml:space="preserve">Proto lze očekávat </w:t>
      </w:r>
      <w:r w:rsidR="00044673" w:rsidRPr="00FB4118">
        <w:rPr>
          <w:b/>
        </w:rPr>
        <w:t>vyšší zatížení na straně státu u varianty 1 než u varianty 2</w:t>
      </w:r>
      <w:r w:rsidR="00044673">
        <w:t>.</w:t>
      </w:r>
    </w:p>
    <w:p w:rsidR="00B050F7" w:rsidRPr="00BA3A2A" w:rsidRDefault="00B050F7" w:rsidP="00395E1E">
      <w:pPr>
        <w:pStyle w:val="Nadpis4"/>
        <w:keepNext/>
        <w:ind w:left="862" w:hanging="862"/>
        <w:rPr>
          <w:iCs w:val="0"/>
        </w:rPr>
      </w:pPr>
      <w:r w:rsidRPr="00BA3A2A">
        <w:rPr>
          <w:iCs w:val="0"/>
        </w:rPr>
        <w:t>Vliv na veřejné rozpočty a finanční dopad na daňové subjekty</w:t>
      </w:r>
    </w:p>
    <w:p w:rsidR="00B050F7" w:rsidRPr="003B025D" w:rsidRDefault="00B050F7" w:rsidP="00B050F7">
      <w:r w:rsidRPr="003B025D">
        <w:t xml:space="preserve">Vliv na veřejné rozpočty může být pozitivní i negativní </w:t>
      </w:r>
      <w:r w:rsidR="00044673">
        <w:t>(</w:t>
      </w:r>
      <w:r w:rsidRPr="003B025D">
        <w:t>mimo příjmů veřejných rozpočtů je nutné uvažovat též o výdajích veřejných rozpočtů</w:t>
      </w:r>
      <w:r w:rsidR="00044673">
        <w:t>)</w:t>
      </w:r>
      <w:r w:rsidRPr="003B025D">
        <w:t xml:space="preserve">. </w:t>
      </w:r>
      <w:r w:rsidR="0013196C">
        <w:t>Výdaje</w:t>
      </w:r>
      <w:r w:rsidRPr="003B025D">
        <w:t xml:space="preserve"> budou spočívat zejména v přizpůsobení se</w:t>
      </w:r>
      <w:r w:rsidR="00596D19">
        <w:t> </w:t>
      </w:r>
      <w:r w:rsidRPr="003B025D">
        <w:t>dotčených orgánů veřejné moci nové právní úpravě (výdaje na proškolení, na eventuální změnu informačních systémů aj</w:t>
      </w:r>
      <w:r>
        <w:t>. – viz shora</w:t>
      </w:r>
      <w:r w:rsidRPr="003B025D">
        <w:t xml:space="preserve">). Jelikož však lze očekávat obdobnou výši obecných nákladů pro všechny dotčené varianty, určují hlavní </w:t>
      </w:r>
      <w:r>
        <w:t>hledisko</w:t>
      </w:r>
      <w:r w:rsidRPr="003B025D">
        <w:t xml:space="preserve"> posuzování </w:t>
      </w:r>
      <w:r>
        <w:t>tohoto kritéria</w:t>
      </w:r>
      <w:r w:rsidRPr="003B025D">
        <w:t xml:space="preserve"> potenciální příjmy veřejných rozpočtů. I zde platí výše uvedené pravidlo, že čím širší okruh daňových subjektů, na něž bude nová právní úprava dopadat, tím vyšší potenciální fiskální přínos lze očekávat.</w:t>
      </w:r>
    </w:p>
    <w:p w:rsidR="00B050F7" w:rsidRDefault="00B050F7" w:rsidP="00B050F7">
      <w:r w:rsidRPr="003B025D">
        <w:t xml:space="preserve">Na druhou stranu bude návrh právní úpravy dopadat i na daňové subjekty, a to zejména </w:t>
      </w:r>
      <w:r w:rsidR="002E1A58">
        <w:t>v </w:t>
      </w:r>
      <w:r w:rsidRPr="003B025D">
        <w:t>negativní</w:t>
      </w:r>
      <w:r w:rsidR="008554C5">
        <w:t xml:space="preserve"> </w:t>
      </w:r>
      <w:r w:rsidR="008554C5" w:rsidRPr="003B025D">
        <w:t xml:space="preserve">rovině </w:t>
      </w:r>
      <w:r w:rsidR="008554C5">
        <w:t>prostřednictvím</w:t>
      </w:r>
      <w:r w:rsidRPr="003B025D">
        <w:t xml:space="preserve"> administrativní</w:t>
      </w:r>
      <w:r w:rsidR="008554C5">
        <w:t>ch nákladů</w:t>
      </w:r>
      <w:r w:rsidRPr="003B025D">
        <w:t xml:space="preserve"> (jednání se správcem daně, zjištění a</w:t>
      </w:r>
      <w:r w:rsidR="002E1A58">
        <w:t> </w:t>
      </w:r>
      <w:r w:rsidRPr="003B025D">
        <w:t>prokázání příjmů – zejména opatření potřebných listin</w:t>
      </w:r>
      <w:r w:rsidR="00455CBA">
        <w:t>, vypracování prohlášení o majetku</w:t>
      </w:r>
      <w:r w:rsidRPr="003B025D">
        <w:t xml:space="preserve"> aj.). Nicméně vždy bude záležet na konkrétním daňovém subjektu a tyto dopady tak nelze paušalizovat pro</w:t>
      </w:r>
      <w:r w:rsidR="00596D19">
        <w:t> </w:t>
      </w:r>
      <w:r w:rsidRPr="003B025D">
        <w:t xml:space="preserve">žádnou z výše uvedených skupin daňových subjektů. </w:t>
      </w:r>
    </w:p>
    <w:p w:rsidR="00B050F7" w:rsidRPr="002C0FBC" w:rsidRDefault="00B050F7" w:rsidP="00B050F7">
      <w:r>
        <w:t xml:space="preserve">Finanční dopady na daňové subjekty tak budou vyváženy pozitivním vlivem na veřejné rozpočty. </w:t>
      </w:r>
      <w:r w:rsidR="00AD77EF" w:rsidRPr="00FB4118">
        <w:rPr>
          <w:b/>
        </w:rPr>
        <w:t>N</w:t>
      </w:r>
      <w:r w:rsidRPr="002C0FBC">
        <w:rPr>
          <w:b/>
        </w:rPr>
        <w:t>ejvhodnější variantou je varianta 3</w:t>
      </w:r>
      <w:r w:rsidRPr="002C0FBC">
        <w:t xml:space="preserve">. </w:t>
      </w:r>
      <w:r w:rsidR="00AD77EF">
        <w:t xml:space="preserve">S ohledem na to, že většina poplatníků daně z příjmů právnických osob vede účetnictví a správce daně disponuje větším přehledem o stavu jejich příjmů, majetku a jmění, než je tomu u poplatníků daně z příjmů fyzických osob, lze předpokládat vyšší využitelnost navrhovaných nástrojů u fyzických osob. </w:t>
      </w:r>
      <w:r w:rsidR="00D94E1E">
        <w:t>Z důvodu obavy z možného obcházení navrhovaných nástrojů prostřednictvím právnických osob, svěřenských fondů a obdobných jednotek však není vhodné, aby byl</w:t>
      </w:r>
      <w:r w:rsidR="003134D2">
        <w:t>i</w:t>
      </w:r>
      <w:r w:rsidR="00D94E1E">
        <w:t xml:space="preserve"> poplatníci daně z příjmů právnických osob z právní úpravy vyloučeni.  </w:t>
      </w:r>
      <w:r w:rsidR="00AD77EF">
        <w:t xml:space="preserve">Z toho vyplývá, že </w:t>
      </w:r>
      <w:r w:rsidR="00AD77EF" w:rsidRPr="00FB4118">
        <w:rPr>
          <w:b/>
        </w:rPr>
        <w:t>v</w:t>
      </w:r>
      <w:r w:rsidRPr="00FB4118">
        <w:rPr>
          <w:b/>
        </w:rPr>
        <w:t xml:space="preserve">arianty 1 a 2 </w:t>
      </w:r>
      <w:r w:rsidR="00AD77EF" w:rsidRPr="00FB4118">
        <w:rPr>
          <w:b/>
        </w:rPr>
        <w:t>jsou</w:t>
      </w:r>
      <w:r w:rsidR="00AD77EF">
        <w:rPr>
          <w:b/>
        </w:rPr>
        <w:t xml:space="preserve"> </w:t>
      </w:r>
      <w:r w:rsidRPr="00FB4118">
        <w:rPr>
          <w:b/>
        </w:rPr>
        <w:t>na</w:t>
      </w:r>
      <w:r w:rsidR="00886577">
        <w:rPr>
          <w:b/>
        </w:rPr>
        <w:t> </w:t>
      </w:r>
      <w:r w:rsidRPr="00FB4118">
        <w:rPr>
          <w:b/>
        </w:rPr>
        <w:t>stejné úrovni</w:t>
      </w:r>
      <w:r w:rsidRPr="002C0FBC">
        <w:t>.</w:t>
      </w:r>
    </w:p>
    <w:p w:rsidR="00B050F7" w:rsidRPr="00BA3A2A" w:rsidRDefault="00B050F7" w:rsidP="00FB4118">
      <w:pPr>
        <w:pStyle w:val="Nadpis4"/>
        <w:keepNext/>
        <w:ind w:left="862" w:hanging="862"/>
        <w:rPr>
          <w:iCs w:val="0"/>
        </w:rPr>
      </w:pPr>
      <w:r w:rsidRPr="00BA3A2A">
        <w:rPr>
          <w:iCs w:val="0"/>
        </w:rPr>
        <w:t>Naplnění základního cíle správy daní (řádné zdanění)</w:t>
      </w:r>
    </w:p>
    <w:p w:rsidR="00B050F7" w:rsidRPr="002C0FBC" w:rsidRDefault="00B050F7" w:rsidP="00B050F7">
      <w:r w:rsidRPr="002C0FBC">
        <w:t xml:space="preserve">Naplnění základního cíle správy daní se </w:t>
      </w:r>
      <w:r>
        <w:t>fakticky</w:t>
      </w:r>
      <w:r w:rsidRPr="002C0FBC">
        <w:t xml:space="preserve"> odráží v pozitivním vlivu na veřejné rozpočty. Tj. mělo by platit, že čím větší procento správného zjištění a stanovení daní a zabezpečení jejich úhrady, tím větší příjem pro veřejné rozpočty. </w:t>
      </w:r>
      <w:r>
        <w:t xml:space="preserve">Naplnění základního cíle správy daní však neznamená </w:t>
      </w:r>
      <w:r>
        <w:lastRenderedPageBreak/>
        <w:t xml:space="preserve">jen snahu o zdanění co největšího množství příjmů, ale i na opačné straně snahu o zdanění spravedlivé, tj. </w:t>
      </w:r>
      <w:r w:rsidR="003134D2">
        <w:t>nezdanit to, co dani nepodléhá.</w:t>
      </w:r>
    </w:p>
    <w:p w:rsidR="00B050F7" w:rsidRPr="002C0FBC" w:rsidRDefault="00380D28" w:rsidP="00B050F7">
      <w:r>
        <w:t xml:space="preserve">Zároveň je potřeba </w:t>
      </w:r>
      <w:r w:rsidRPr="00380D28">
        <w:t xml:space="preserve">dané mechanismy zacílit dostatečně široce, aby právní úprava nezavdávala příčiny k jejímu obcházení prostřednictvím </w:t>
      </w:r>
      <w:r>
        <w:t>transferu majetku fyzických osob do právnických osob či</w:t>
      </w:r>
      <w:r w:rsidR="00596D19">
        <w:t> </w:t>
      </w:r>
      <w:r>
        <w:t>jiných entit</w:t>
      </w:r>
      <w:r w:rsidRPr="00380D28">
        <w:t>.</w:t>
      </w:r>
    </w:p>
    <w:p w:rsidR="00B050F7" w:rsidRPr="00C25D9E" w:rsidRDefault="00B050F7" w:rsidP="00B050F7">
      <w:r w:rsidRPr="002C0FBC">
        <w:t xml:space="preserve">Jako </w:t>
      </w:r>
      <w:r w:rsidRPr="002C0FBC">
        <w:rPr>
          <w:b/>
        </w:rPr>
        <w:t>nejvhodnější se tak jeví varianta 3</w:t>
      </w:r>
      <w:r w:rsidRPr="002C0FBC">
        <w:t xml:space="preserve">. Varianty 1 a 2 pak budou s velkou měrou </w:t>
      </w:r>
      <w:r w:rsidRPr="00C25D9E">
        <w:t>pravděpodobnosti na stejné úrovni.</w:t>
      </w:r>
    </w:p>
    <w:p w:rsidR="00B050F7" w:rsidRPr="00BA3A2A" w:rsidRDefault="00B050F7" w:rsidP="00B050F7">
      <w:pPr>
        <w:pStyle w:val="Nadpis4"/>
        <w:keepNext/>
        <w:rPr>
          <w:iCs w:val="0"/>
        </w:rPr>
      </w:pPr>
      <w:r w:rsidRPr="00BA3A2A">
        <w:rPr>
          <w:iCs w:val="0"/>
        </w:rPr>
        <w:t>Mezinárodní srovnání</w:t>
      </w:r>
    </w:p>
    <w:p w:rsidR="00B050F7" w:rsidRDefault="00B050F7" w:rsidP="00B050F7">
      <w:pPr>
        <w:keepNext/>
      </w:pPr>
      <w:r>
        <w:t xml:space="preserve">Z mezinárodního srovnání provedeného při přípravě normativního textu návrhu zákona vyplývá, že jednotlivé porovnávané země přizpůsobují úpravu prokazování příjmů svým právním řádům a nelze tak vytyčit jednotná pravidla pro tuto oblast (je například nutné zohlednit existenci svěřenských fondů aj.). Jednotlivé státy tak nejsou ve shodě ani v otázce šíře okruhu subjektů, na něž právní úprava dopadá. Nicméně mírně převládá právní úprava dopadající na osoby </w:t>
      </w:r>
      <w:r w:rsidR="00B62867">
        <w:t>bez rozdílu, včetně non-subjektů</w:t>
      </w:r>
      <w:r>
        <w:t xml:space="preserve">. </w:t>
      </w:r>
    </w:p>
    <w:p w:rsidR="00B050F7" w:rsidRPr="00B27106" w:rsidRDefault="00B050F7" w:rsidP="00B050F7">
      <w:r>
        <w:t xml:space="preserve">S ohledem na potřeby českého právního řádu se pak jeví jako žádoucí nečinit mezi těmito skupinami poplatníků </w:t>
      </w:r>
      <w:r w:rsidR="00B62867">
        <w:t xml:space="preserve">daní </w:t>
      </w:r>
      <w:r>
        <w:t xml:space="preserve">z příjmů rozdíly a vztáhnout úpravu na obě tyto kategorie. </w:t>
      </w:r>
      <w:r w:rsidRPr="00C7403B">
        <w:rPr>
          <w:b/>
        </w:rPr>
        <w:t>Z tohoto důvodu se jako nejvíce žádoucí jeví varianta 3</w:t>
      </w:r>
      <w:r>
        <w:t>. Varianty 1 a 2 jsou pak srovnatelné.</w:t>
      </w:r>
    </w:p>
    <w:p w:rsidR="00B050F7" w:rsidRPr="003D3E09" w:rsidRDefault="00B050F7" w:rsidP="00395E1E">
      <w:pPr>
        <w:pStyle w:val="Nadpis2"/>
        <w:keepNext/>
      </w:pPr>
      <w:r w:rsidRPr="00C82225">
        <w:t xml:space="preserve">Návrh řešení </w:t>
      </w:r>
    </w:p>
    <w:p w:rsidR="00B050F7" w:rsidRDefault="00B050F7" w:rsidP="00395E1E">
      <w:pPr>
        <w:pStyle w:val="Nadpis3"/>
        <w:keepNext/>
      </w:pPr>
      <w:r w:rsidRPr="00C82225">
        <w:t>Stanovení pořadí variant a výběr nejvhodnějšího řešení</w:t>
      </w:r>
    </w:p>
    <w:p w:rsidR="000070F6" w:rsidRDefault="00B050F7" w:rsidP="00B050F7">
      <w:r w:rsidRPr="00C82225">
        <w:t xml:space="preserve">Na základě vzájemného porovnání jednotlivých variant optikou zvolených kritérií, vyplynula jako </w:t>
      </w:r>
      <w:r w:rsidRPr="00C82225">
        <w:rPr>
          <w:b/>
        </w:rPr>
        <w:t xml:space="preserve">nejvhodnější varianta </w:t>
      </w:r>
      <w:r>
        <w:rPr>
          <w:b/>
        </w:rPr>
        <w:t>3</w:t>
      </w:r>
      <w:r w:rsidRPr="00C82225">
        <w:t>. Tato varianta bude dále předložena k rozpracování do návrhu právního předpisu.</w:t>
      </w:r>
    </w:p>
    <w:tbl>
      <w:tblPr>
        <w:tblW w:w="5000" w:type="pct"/>
        <w:tblBorders>
          <w:top w:val="single" w:sz="8" w:space="0" w:color="8064A2"/>
          <w:bottom w:val="single" w:sz="8" w:space="0" w:color="8064A2"/>
        </w:tblBorders>
        <w:tblLook w:val="00A0" w:firstRow="1" w:lastRow="0" w:firstColumn="1" w:lastColumn="0" w:noHBand="0" w:noVBand="0"/>
      </w:tblPr>
      <w:tblGrid>
        <w:gridCol w:w="458"/>
        <w:gridCol w:w="1181"/>
        <w:gridCol w:w="1519"/>
        <w:gridCol w:w="1502"/>
        <w:gridCol w:w="1517"/>
        <w:gridCol w:w="1117"/>
        <w:gridCol w:w="1269"/>
        <w:gridCol w:w="837"/>
      </w:tblGrid>
      <w:tr w:rsidR="00B050F7" w:rsidRPr="00C82225" w:rsidTr="00B050F7">
        <w:trPr>
          <w:trHeight w:val="675"/>
        </w:trPr>
        <w:tc>
          <w:tcPr>
            <w:tcW w:w="244" w:type="pct"/>
            <w:tcBorders>
              <w:top w:val="single" w:sz="8" w:space="0" w:color="8064A2"/>
              <w:left w:val="nil"/>
              <w:bottom w:val="single" w:sz="8" w:space="0" w:color="8064A2"/>
              <w:right w:val="nil"/>
            </w:tcBorders>
            <w:noWrap/>
          </w:tcPr>
          <w:p w:rsidR="00B050F7" w:rsidRPr="00C82225" w:rsidRDefault="00B050F7" w:rsidP="00B050F7">
            <w:pPr>
              <w:spacing w:after="0"/>
              <w:ind w:firstLine="0"/>
              <w:jc w:val="left"/>
              <w:rPr>
                <w:b/>
                <w:bCs/>
                <w:color w:val="000000"/>
                <w:sz w:val="20"/>
                <w:szCs w:val="20"/>
                <w:lang w:eastAsia="cs-CZ"/>
              </w:rPr>
            </w:pPr>
            <w:r w:rsidRPr="00C82225">
              <w:rPr>
                <w:b/>
                <w:bCs/>
                <w:color w:val="000000"/>
                <w:sz w:val="20"/>
                <w:szCs w:val="20"/>
                <w:lang w:eastAsia="cs-CZ"/>
              </w:rPr>
              <w:t> </w:t>
            </w:r>
          </w:p>
        </w:tc>
        <w:tc>
          <w:tcPr>
            <w:tcW w:w="628" w:type="pct"/>
            <w:tcBorders>
              <w:top w:val="single" w:sz="8" w:space="0" w:color="8064A2"/>
              <w:left w:val="nil"/>
              <w:bottom w:val="single" w:sz="8" w:space="0" w:color="8064A2"/>
              <w:right w:val="nil"/>
            </w:tcBorders>
          </w:tcPr>
          <w:p w:rsidR="00B050F7" w:rsidRPr="00C82225" w:rsidRDefault="00B050F7" w:rsidP="00B050F7">
            <w:pPr>
              <w:spacing w:after="0"/>
              <w:ind w:firstLine="0"/>
              <w:jc w:val="center"/>
              <w:rPr>
                <w:b/>
                <w:bCs/>
                <w:color w:val="000000"/>
                <w:sz w:val="20"/>
                <w:szCs w:val="20"/>
                <w:lang w:eastAsia="cs-CZ"/>
              </w:rPr>
            </w:pPr>
            <w:r w:rsidRPr="00CE07AF">
              <w:rPr>
                <w:b/>
                <w:bCs/>
                <w:color w:val="000000"/>
                <w:sz w:val="20"/>
                <w:szCs w:val="20"/>
                <w:lang w:eastAsia="cs-CZ"/>
              </w:rPr>
              <w:t>Riziko nesouladu s ústavním pořádkem</w:t>
            </w:r>
          </w:p>
        </w:tc>
        <w:tc>
          <w:tcPr>
            <w:tcW w:w="808" w:type="pct"/>
            <w:tcBorders>
              <w:top w:val="single" w:sz="8" w:space="0" w:color="8064A2"/>
              <w:left w:val="nil"/>
              <w:bottom w:val="single" w:sz="8" w:space="0" w:color="8064A2"/>
              <w:right w:val="nil"/>
            </w:tcBorders>
          </w:tcPr>
          <w:p w:rsidR="00B050F7" w:rsidRPr="00C82225" w:rsidRDefault="00B050F7" w:rsidP="00B050F7">
            <w:pPr>
              <w:spacing w:after="0"/>
              <w:ind w:firstLine="0"/>
              <w:jc w:val="center"/>
              <w:rPr>
                <w:b/>
                <w:bCs/>
                <w:color w:val="000000"/>
                <w:sz w:val="20"/>
                <w:szCs w:val="20"/>
                <w:lang w:eastAsia="cs-CZ"/>
              </w:rPr>
            </w:pPr>
            <w:r w:rsidRPr="00CE07AF">
              <w:rPr>
                <w:b/>
                <w:bCs/>
                <w:color w:val="000000"/>
                <w:sz w:val="20"/>
                <w:szCs w:val="20"/>
                <w:lang w:eastAsia="cs-CZ"/>
              </w:rPr>
              <w:t>Administrativní zátěž na straně daňových subjektů</w:t>
            </w:r>
          </w:p>
        </w:tc>
        <w:tc>
          <w:tcPr>
            <w:tcW w:w="799" w:type="pct"/>
            <w:tcBorders>
              <w:top w:val="single" w:sz="8" w:space="0" w:color="8064A2"/>
              <w:left w:val="nil"/>
              <w:bottom w:val="single" w:sz="8" w:space="0" w:color="8064A2"/>
              <w:right w:val="nil"/>
            </w:tcBorders>
          </w:tcPr>
          <w:p w:rsidR="00B050F7" w:rsidRPr="00C82225" w:rsidRDefault="00B050F7" w:rsidP="00B050F7">
            <w:pPr>
              <w:spacing w:after="0"/>
              <w:ind w:firstLine="0"/>
              <w:jc w:val="center"/>
              <w:rPr>
                <w:b/>
                <w:bCs/>
                <w:color w:val="000000"/>
                <w:sz w:val="20"/>
                <w:szCs w:val="20"/>
                <w:lang w:eastAsia="cs-CZ"/>
              </w:rPr>
            </w:pPr>
            <w:r w:rsidRPr="00CE07AF">
              <w:rPr>
                <w:b/>
                <w:bCs/>
                <w:color w:val="000000"/>
                <w:sz w:val="20"/>
                <w:szCs w:val="20"/>
                <w:lang w:eastAsia="cs-CZ"/>
              </w:rPr>
              <w:t>Administrativní zátěž na straně státu</w:t>
            </w:r>
          </w:p>
        </w:tc>
        <w:tc>
          <w:tcPr>
            <w:tcW w:w="807" w:type="pct"/>
            <w:tcBorders>
              <w:top w:val="single" w:sz="8" w:space="0" w:color="8064A2"/>
              <w:left w:val="nil"/>
              <w:bottom w:val="single" w:sz="8" w:space="0" w:color="8064A2"/>
              <w:right w:val="nil"/>
            </w:tcBorders>
          </w:tcPr>
          <w:p w:rsidR="00B050F7" w:rsidRPr="00C82225" w:rsidRDefault="00B050F7" w:rsidP="00B050F7">
            <w:pPr>
              <w:spacing w:after="0"/>
              <w:ind w:firstLine="0"/>
              <w:jc w:val="center"/>
              <w:rPr>
                <w:b/>
                <w:bCs/>
                <w:color w:val="000000"/>
                <w:sz w:val="20"/>
                <w:szCs w:val="20"/>
                <w:lang w:eastAsia="cs-CZ"/>
              </w:rPr>
            </w:pPr>
            <w:r>
              <w:rPr>
                <w:b/>
                <w:bCs/>
                <w:color w:val="000000"/>
                <w:sz w:val="20"/>
                <w:szCs w:val="20"/>
                <w:lang w:eastAsia="cs-CZ"/>
              </w:rPr>
              <w:t>Vliv na </w:t>
            </w:r>
            <w:r w:rsidRPr="00CE07AF">
              <w:rPr>
                <w:b/>
                <w:bCs/>
                <w:color w:val="000000"/>
                <w:sz w:val="20"/>
                <w:szCs w:val="20"/>
                <w:lang w:eastAsia="cs-CZ"/>
              </w:rPr>
              <w:t xml:space="preserve">veřejné </w:t>
            </w:r>
            <w:r w:rsidRPr="00B15953">
              <w:rPr>
                <w:b/>
                <w:bCs/>
                <w:color w:val="000000"/>
                <w:sz w:val="20"/>
                <w:szCs w:val="20"/>
                <w:lang w:eastAsia="cs-CZ"/>
              </w:rPr>
              <w:t>rozpočty a finanční dopad na daňové subjekty</w:t>
            </w:r>
          </w:p>
        </w:tc>
        <w:tc>
          <w:tcPr>
            <w:tcW w:w="594" w:type="pct"/>
            <w:tcBorders>
              <w:top w:val="single" w:sz="8" w:space="0" w:color="8064A2"/>
              <w:left w:val="nil"/>
              <w:bottom w:val="single" w:sz="8" w:space="0" w:color="8064A2"/>
              <w:right w:val="nil"/>
            </w:tcBorders>
            <w:shd w:val="clear" w:color="auto" w:fill="auto"/>
          </w:tcPr>
          <w:p w:rsidR="00B050F7" w:rsidRPr="00C25D9E" w:rsidRDefault="00B050F7" w:rsidP="00B050F7">
            <w:pPr>
              <w:spacing w:after="0"/>
              <w:ind w:firstLine="0"/>
              <w:jc w:val="center"/>
              <w:rPr>
                <w:b/>
                <w:bCs/>
                <w:color w:val="000000"/>
                <w:sz w:val="20"/>
                <w:szCs w:val="20"/>
                <w:lang w:eastAsia="cs-CZ"/>
              </w:rPr>
            </w:pPr>
            <w:r w:rsidRPr="00C25D9E">
              <w:rPr>
                <w:b/>
                <w:bCs/>
                <w:color w:val="000000"/>
                <w:sz w:val="20"/>
                <w:szCs w:val="20"/>
                <w:lang w:eastAsia="cs-CZ"/>
              </w:rPr>
              <w:t>Naplnění základního cíle správy daní</w:t>
            </w:r>
          </w:p>
        </w:tc>
        <w:tc>
          <w:tcPr>
            <w:tcW w:w="675" w:type="pct"/>
            <w:tcBorders>
              <w:top w:val="single" w:sz="8" w:space="0" w:color="8064A2"/>
              <w:left w:val="nil"/>
              <w:bottom w:val="single" w:sz="8" w:space="0" w:color="8064A2"/>
              <w:right w:val="nil"/>
            </w:tcBorders>
            <w:shd w:val="clear" w:color="auto" w:fill="auto"/>
          </w:tcPr>
          <w:p w:rsidR="00B050F7" w:rsidRPr="00C25D9E" w:rsidRDefault="00B050F7" w:rsidP="00B050F7">
            <w:pPr>
              <w:spacing w:after="0"/>
              <w:ind w:firstLine="0"/>
              <w:jc w:val="center"/>
              <w:rPr>
                <w:b/>
                <w:bCs/>
                <w:color w:val="000000"/>
                <w:sz w:val="20"/>
                <w:szCs w:val="20"/>
                <w:lang w:eastAsia="cs-CZ"/>
              </w:rPr>
            </w:pPr>
            <w:r w:rsidRPr="00C25D9E">
              <w:rPr>
                <w:b/>
                <w:bCs/>
                <w:color w:val="000000"/>
                <w:sz w:val="20"/>
                <w:szCs w:val="20"/>
                <w:lang w:eastAsia="cs-CZ"/>
              </w:rPr>
              <w:t>Mezinárodní komparace</w:t>
            </w:r>
          </w:p>
        </w:tc>
        <w:tc>
          <w:tcPr>
            <w:tcW w:w="445" w:type="pct"/>
            <w:tcBorders>
              <w:top w:val="single" w:sz="8" w:space="0" w:color="8064A2"/>
              <w:left w:val="nil"/>
              <w:bottom w:val="single" w:sz="8" w:space="0" w:color="8064A2"/>
              <w:right w:val="nil"/>
            </w:tcBorders>
            <w:shd w:val="clear" w:color="auto" w:fill="auto"/>
          </w:tcPr>
          <w:p w:rsidR="00B050F7" w:rsidRPr="00C25D9E" w:rsidRDefault="00B050F7" w:rsidP="00B050F7">
            <w:pPr>
              <w:spacing w:after="0"/>
              <w:ind w:firstLine="0"/>
              <w:jc w:val="center"/>
              <w:rPr>
                <w:b/>
                <w:bCs/>
                <w:color w:val="000000"/>
                <w:sz w:val="20"/>
                <w:szCs w:val="20"/>
                <w:lang w:eastAsia="cs-CZ"/>
              </w:rPr>
            </w:pPr>
            <w:r w:rsidRPr="00C25D9E">
              <w:rPr>
                <w:b/>
                <w:bCs/>
                <w:color w:val="000000"/>
                <w:sz w:val="20"/>
                <w:szCs w:val="20"/>
                <w:lang w:eastAsia="cs-CZ"/>
              </w:rPr>
              <w:t>Průměr</w:t>
            </w:r>
          </w:p>
        </w:tc>
      </w:tr>
      <w:tr w:rsidR="00B050F7" w:rsidRPr="00C82225" w:rsidTr="00B050F7">
        <w:trPr>
          <w:trHeight w:val="300"/>
        </w:trPr>
        <w:tc>
          <w:tcPr>
            <w:tcW w:w="244" w:type="pct"/>
            <w:tcBorders>
              <w:left w:val="nil"/>
              <w:right w:val="nil"/>
            </w:tcBorders>
            <w:shd w:val="clear" w:color="auto" w:fill="DFD8E8"/>
            <w:noWrap/>
          </w:tcPr>
          <w:p w:rsidR="00B050F7" w:rsidRPr="00C82225" w:rsidRDefault="00B050F7" w:rsidP="00B050F7">
            <w:pPr>
              <w:spacing w:after="0"/>
              <w:ind w:firstLine="0"/>
              <w:jc w:val="left"/>
              <w:rPr>
                <w:b/>
                <w:bCs/>
                <w:color w:val="000000"/>
                <w:sz w:val="20"/>
                <w:szCs w:val="20"/>
                <w:lang w:eastAsia="cs-CZ"/>
              </w:rPr>
            </w:pPr>
            <w:r w:rsidRPr="00C82225">
              <w:rPr>
                <w:b/>
                <w:bCs/>
                <w:color w:val="000000"/>
                <w:sz w:val="20"/>
                <w:szCs w:val="20"/>
                <w:lang w:eastAsia="cs-CZ"/>
              </w:rPr>
              <w:t>V0</w:t>
            </w:r>
          </w:p>
        </w:tc>
        <w:tc>
          <w:tcPr>
            <w:tcW w:w="628"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w:t>
            </w:r>
          </w:p>
        </w:tc>
        <w:tc>
          <w:tcPr>
            <w:tcW w:w="808"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w:t>
            </w:r>
          </w:p>
        </w:tc>
        <w:tc>
          <w:tcPr>
            <w:tcW w:w="799"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w:t>
            </w:r>
          </w:p>
        </w:tc>
        <w:tc>
          <w:tcPr>
            <w:tcW w:w="807"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w:t>
            </w:r>
          </w:p>
        </w:tc>
        <w:tc>
          <w:tcPr>
            <w:tcW w:w="594"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w:t>
            </w:r>
          </w:p>
        </w:tc>
        <w:tc>
          <w:tcPr>
            <w:tcW w:w="675"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w:t>
            </w:r>
          </w:p>
        </w:tc>
        <w:tc>
          <w:tcPr>
            <w:tcW w:w="445"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w:t>
            </w:r>
          </w:p>
        </w:tc>
      </w:tr>
      <w:tr w:rsidR="00B050F7" w:rsidRPr="00C82225" w:rsidTr="00B050F7">
        <w:trPr>
          <w:trHeight w:val="300"/>
        </w:trPr>
        <w:tc>
          <w:tcPr>
            <w:tcW w:w="244" w:type="pct"/>
            <w:noWrap/>
          </w:tcPr>
          <w:p w:rsidR="00B050F7" w:rsidRPr="00C82225" w:rsidRDefault="00B050F7" w:rsidP="00B050F7">
            <w:pPr>
              <w:spacing w:after="0"/>
              <w:ind w:firstLine="0"/>
              <w:jc w:val="left"/>
              <w:rPr>
                <w:b/>
                <w:bCs/>
                <w:color w:val="000000"/>
                <w:sz w:val="20"/>
                <w:szCs w:val="20"/>
                <w:lang w:eastAsia="cs-CZ"/>
              </w:rPr>
            </w:pPr>
            <w:r w:rsidRPr="00C82225">
              <w:rPr>
                <w:b/>
                <w:bCs/>
                <w:color w:val="000000"/>
                <w:sz w:val="20"/>
                <w:szCs w:val="20"/>
                <w:lang w:eastAsia="cs-CZ"/>
              </w:rPr>
              <w:t>V1</w:t>
            </w:r>
          </w:p>
        </w:tc>
        <w:tc>
          <w:tcPr>
            <w:tcW w:w="628" w:type="pct"/>
            <w:noWrap/>
          </w:tcPr>
          <w:p w:rsidR="00B050F7" w:rsidRPr="00C82225" w:rsidRDefault="00B050F7" w:rsidP="00B050F7">
            <w:pPr>
              <w:spacing w:after="0"/>
              <w:ind w:firstLine="0"/>
              <w:jc w:val="center"/>
              <w:rPr>
                <w:color w:val="000000"/>
                <w:lang w:eastAsia="cs-CZ"/>
              </w:rPr>
            </w:pPr>
            <w:r>
              <w:rPr>
                <w:color w:val="000000"/>
                <w:lang w:eastAsia="cs-CZ"/>
              </w:rPr>
              <w:t>2</w:t>
            </w:r>
          </w:p>
        </w:tc>
        <w:tc>
          <w:tcPr>
            <w:tcW w:w="808" w:type="pct"/>
            <w:noWrap/>
          </w:tcPr>
          <w:p w:rsidR="00B050F7" w:rsidRPr="00C82225" w:rsidRDefault="00B050F7" w:rsidP="00B050F7">
            <w:pPr>
              <w:spacing w:after="0"/>
              <w:ind w:firstLine="0"/>
              <w:jc w:val="center"/>
              <w:rPr>
                <w:color w:val="000000"/>
                <w:lang w:eastAsia="cs-CZ"/>
              </w:rPr>
            </w:pPr>
            <w:r>
              <w:rPr>
                <w:color w:val="000000"/>
                <w:lang w:eastAsia="cs-CZ"/>
              </w:rPr>
              <w:t>1</w:t>
            </w:r>
          </w:p>
        </w:tc>
        <w:tc>
          <w:tcPr>
            <w:tcW w:w="799" w:type="pct"/>
            <w:noWrap/>
          </w:tcPr>
          <w:p w:rsidR="00B050F7" w:rsidRPr="00C82225" w:rsidRDefault="00F346E0" w:rsidP="00B050F7">
            <w:pPr>
              <w:spacing w:after="0"/>
              <w:ind w:firstLine="0"/>
              <w:jc w:val="center"/>
              <w:rPr>
                <w:color w:val="000000"/>
                <w:lang w:eastAsia="cs-CZ"/>
              </w:rPr>
            </w:pPr>
            <w:r>
              <w:rPr>
                <w:color w:val="000000"/>
                <w:lang w:eastAsia="cs-CZ"/>
              </w:rPr>
              <w:t>2</w:t>
            </w:r>
          </w:p>
        </w:tc>
        <w:tc>
          <w:tcPr>
            <w:tcW w:w="807" w:type="pct"/>
            <w:noWrap/>
          </w:tcPr>
          <w:p w:rsidR="00B050F7" w:rsidRPr="00C82225" w:rsidRDefault="00B050F7" w:rsidP="00B050F7">
            <w:pPr>
              <w:spacing w:after="0"/>
              <w:ind w:firstLine="0"/>
              <w:jc w:val="center"/>
              <w:rPr>
                <w:color w:val="000000"/>
                <w:lang w:eastAsia="cs-CZ"/>
              </w:rPr>
            </w:pPr>
            <w:r>
              <w:rPr>
                <w:color w:val="000000"/>
                <w:lang w:eastAsia="cs-CZ"/>
              </w:rPr>
              <w:t>2</w:t>
            </w:r>
          </w:p>
        </w:tc>
        <w:tc>
          <w:tcPr>
            <w:tcW w:w="594" w:type="pct"/>
            <w:noWrap/>
          </w:tcPr>
          <w:p w:rsidR="00B050F7" w:rsidRPr="00C82225" w:rsidRDefault="00B050F7" w:rsidP="00B050F7">
            <w:pPr>
              <w:spacing w:after="0"/>
              <w:ind w:firstLine="0"/>
              <w:jc w:val="center"/>
              <w:rPr>
                <w:color w:val="000000"/>
                <w:lang w:eastAsia="cs-CZ"/>
              </w:rPr>
            </w:pPr>
            <w:r>
              <w:rPr>
                <w:color w:val="000000"/>
                <w:lang w:eastAsia="cs-CZ"/>
              </w:rPr>
              <w:t>2</w:t>
            </w:r>
          </w:p>
        </w:tc>
        <w:tc>
          <w:tcPr>
            <w:tcW w:w="675" w:type="pct"/>
            <w:noWrap/>
          </w:tcPr>
          <w:p w:rsidR="00B050F7" w:rsidRPr="00C82225" w:rsidRDefault="00B050F7" w:rsidP="00B050F7">
            <w:pPr>
              <w:spacing w:after="0"/>
              <w:ind w:firstLine="0"/>
              <w:jc w:val="center"/>
              <w:rPr>
                <w:color w:val="000000"/>
                <w:lang w:eastAsia="cs-CZ"/>
              </w:rPr>
            </w:pPr>
            <w:r>
              <w:rPr>
                <w:color w:val="000000"/>
                <w:lang w:eastAsia="cs-CZ"/>
              </w:rPr>
              <w:t>2</w:t>
            </w:r>
          </w:p>
        </w:tc>
        <w:tc>
          <w:tcPr>
            <w:tcW w:w="445" w:type="pct"/>
            <w:noWrap/>
          </w:tcPr>
          <w:p w:rsidR="00B050F7" w:rsidRPr="00C82225" w:rsidRDefault="00B050F7" w:rsidP="00F346E0">
            <w:pPr>
              <w:spacing w:after="0"/>
              <w:ind w:firstLine="0"/>
              <w:jc w:val="center"/>
              <w:rPr>
                <w:color w:val="000000"/>
                <w:lang w:eastAsia="cs-CZ"/>
              </w:rPr>
            </w:pPr>
            <w:r w:rsidRPr="00C82225">
              <w:rPr>
                <w:color w:val="000000"/>
                <w:lang w:eastAsia="cs-CZ"/>
              </w:rPr>
              <w:t>1,</w:t>
            </w:r>
            <w:r w:rsidR="00F346E0">
              <w:rPr>
                <w:color w:val="000000"/>
                <w:lang w:eastAsia="cs-CZ"/>
              </w:rPr>
              <w:t>83</w:t>
            </w:r>
          </w:p>
        </w:tc>
      </w:tr>
      <w:tr w:rsidR="00B050F7" w:rsidRPr="00C82225" w:rsidTr="00B050F7">
        <w:trPr>
          <w:trHeight w:val="300"/>
        </w:trPr>
        <w:tc>
          <w:tcPr>
            <w:tcW w:w="244" w:type="pct"/>
            <w:tcBorders>
              <w:left w:val="nil"/>
              <w:right w:val="nil"/>
            </w:tcBorders>
            <w:shd w:val="clear" w:color="auto" w:fill="DFD8E8"/>
            <w:noWrap/>
          </w:tcPr>
          <w:p w:rsidR="00B050F7" w:rsidRPr="00C82225" w:rsidRDefault="00B050F7" w:rsidP="00B050F7">
            <w:pPr>
              <w:spacing w:after="0"/>
              <w:ind w:firstLine="0"/>
              <w:jc w:val="left"/>
              <w:rPr>
                <w:b/>
                <w:bCs/>
                <w:color w:val="000000"/>
                <w:sz w:val="20"/>
                <w:szCs w:val="20"/>
                <w:lang w:eastAsia="cs-CZ"/>
              </w:rPr>
            </w:pPr>
            <w:r w:rsidRPr="00C82225">
              <w:rPr>
                <w:b/>
                <w:bCs/>
                <w:color w:val="000000"/>
                <w:sz w:val="20"/>
                <w:szCs w:val="20"/>
                <w:lang w:eastAsia="cs-CZ"/>
              </w:rPr>
              <w:t>V2</w:t>
            </w:r>
          </w:p>
        </w:tc>
        <w:tc>
          <w:tcPr>
            <w:tcW w:w="628"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2</w:t>
            </w:r>
          </w:p>
        </w:tc>
        <w:tc>
          <w:tcPr>
            <w:tcW w:w="808"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sidRPr="00C82225">
              <w:rPr>
                <w:color w:val="000000"/>
                <w:lang w:eastAsia="cs-CZ"/>
              </w:rPr>
              <w:t>1</w:t>
            </w:r>
          </w:p>
        </w:tc>
        <w:tc>
          <w:tcPr>
            <w:tcW w:w="799"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1</w:t>
            </w:r>
          </w:p>
        </w:tc>
        <w:tc>
          <w:tcPr>
            <w:tcW w:w="807"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2</w:t>
            </w:r>
          </w:p>
        </w:tc>
        <w:tc>
          <w:tcPr>
            <w:tcW w:w="594"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2</w:t>
            </w:r>
          </w:p>
        </w:tc>
        <w:tc>
          <w:tcPr>
            <w:tcW w:w="675"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2</w:t>
            </w:r>
          </w:p>
        </w:tc>
        <w:tc>
          <w:tcPr>
            <w:tcW w:w="445" w:type="pct"/>
            <w:tcBorders>
              <w:left w:val="nil"/>
              <w:right w:val="nil"/>
            </w:tcBorders>
            <w:shd w:val="clear" w:color="auto" w:fill="DFD8E8"/>
            <w:noWrap/>
          </w:tcPr>
          <w:p w:rsidR="00B050F7" w:rsidRPr="00C82225" w:rsidRDefault="00B050F7" w:rsidP="00B050F7">
            <w:pPr>
              <w:spacing w:after="0"/>
              <w:ind w:firstLine="0"/>
              <w:jc w:val="center"/>
              <w:rPr>
                <w:color w:val="000000"/>
                <w:lang w:eastAsia="cs-CZ"/>
              </w:rPr>
            </w:pPr>
            <w:r>
              <w:rPr>
                <w:color w:val="000000"/>
                <w:lang w:eastAsia="cs-CZ"/>
              </w:rPr>
              <w:t>1,67</w:t>
            </w:r>
          </w:p>
        </w:tc>
      </w:tr>
      <w:tr w:rsidR="00B050F7" w:rsidRPr="00C82225" w:rsidTr="00B050F7">
        <w:trPr>
          <w:trHeight w:val="300"/>
        </w:trPr>
        <w:tc>
          <w:tcPr>
            <w:tcW w:w="244" w:type="pct"/>
            <w:tcBorders>
              <w:left w:val="nil"/>
              <w:bottom w:val="single" w:sz="8" w:space="0" w:color="8064A2"/>
              <w:right w:val="nil"/>
            </w:tcBorders>
            <w:shd w:val="clear" w:color="auto" w:fill="auto"/>
            <w:noWrap/>
          </w:tcPr>
          <w:p w:rsidR="00B050F7" w:rsidRPr="00AA2A63" w:rsidRDefault="00B050F7" w:rsidP="00B050F7">
            <w:pPr>
              <w:spacing w:after="0"/>
              <w:ind w:firstLine="0"/>
              <w:jc w:val="left"/>
              <w:rPr>
                <w:b/>
                <w:bCs/>
                <w:color w:val="000000"/>
                <w:sz w:val="20"/>
                <w:szCs w:val="20"/>
                <w:lang w:eastAsia="cs-CZ"/>
              </w:rPr>
            </w:pPr>
            <w:r w:rsidRPr="00AA2A63">
              <w:rPr>
                <w:b/>
                <w:bCs/>
                <w:color w:val="000000"/>
                <w:szCs w:val="20"/>
                <w:lang w:eastAsia="cs-CZ"/>
              </w:rPr>
              <w:t>V3</w:t>
            </w:r>
          </w:p>
        </w:tc>
        <w:tc>
          <w:tcPr>
            <w:tcW w:w="628" w:type="pct"/>
            <w:tcBorders>
              <w:left w:val="nil"/>
              <w:bottom w:val="single" w:sz="8" w:space="0" w:color="8064A2"/>
              <w:right w:val="nil"/>
            </w:tcBorders>
            <w:shd w:val="clear" w:color="auto" w:fill="auto"/>
            <w:noWrap/>
          </w:tcPr>
          <w:p w:rsidR="00B050F7" w:rsidRPr="00AA2A63" w:rsidRDefault="00B050F7" w:rsidP="00B050F7">
            <w:pPr>
              <w:spacing w:after="0"/>
              <w:ind w:firstLine="0"/>
              <w:jc w:val="center"/>
              <w:rPr>
                <w:b/>
                <w:bCs/>
                <w:color w:val="000000"/>
                <w:szCs w:val="20"/>
                <w:lang w:eastAsia="cs-CZ"/>
              </w:rPr>
            </w:pPr>
            <w:r w:rsidRPr="00AA2A63">
              <w:rPr>
                <w:b/>
                <w:bCs/>
                <w:color w:val="000000"/>
                <w:szCs w:val="20"/>
                <w:lang w:eastAsia="cs-CZ"/>
              </w:rPr>
              <w:t>1</w:t>
            </w:r>
          </w:p>
        </w:tc>
        <w:tc>
          <w:tcPr>
            <w:tcW w:w="808" w:type="pct"/>
            <w:tcBorders>
              <w:left w:val="nil"/>
              <w:bottom w:val="single" w:sz="8" w:space="0" w:color="8064A2"/>
              <w:right w:val="nil"/>
            </w:tcBorders>
            <w:shd w:val="clear" w:color="auto" w:fill="auto"/>
            <w:noWrap/>
          </w:tcPr>
          <w:p w:rsidR="00B050F7" w:rsidRPr="00AA2A63" w:rsidRDefault="00B050F7" w:rsidP="00B050F7">
            <w:pPr>
              <w:spacing w:after="0"/>
              <w:ind w:firstLine="0"/>
              <w:jc w:val="center"/>
              <w:rPr>
                <w:b/>
                <w:bCs/>
                <w:color w:val="000000"/>
                <w:szCs w:val="20"/>
                <w:lang w:eastAsia="cs-CZ"/>
              </w:rPr>
            </w:pPr>
            <w:r w:rsidRPr="00AA2A63">
              <w:rPr>
                <w:b/>
                <w:bCs/>
                <w:color w:val="000000"/>
                <w:szCs w:val="20"/>
                <w:lang w:eastAsia="cs-CZ"/>
              </w:rPr>
              <w:t>1</w:t>
            </w:r>
          </w:p>
        </w:tc>
        <w:tc>
          <w:tcPr>
            <w:tcW w:w="799" w:type="pct"/>
            <w:tcBorders>
              <w:left w:val="nil"/>
              <w:bottom w:val="single" w:sz="8" w:space="0" w:color="8064A2"/>
              <w:right w:val="nil"/>
            </w:tcBorders>
            <w:shd w:val="clear" w:color="auto" w:fill="auto"/>
            <w:noWrap/>
          </w:tcPr>
          <w:p w:rsidR="00B050F7" w:rsidRPr="00AA2A63" w:rsidRDefault="00B050F7" w:rsidP="00B050F7">
            <w:pPr>
              <w:spacing w:after="0"/>
              <w:ind w:firstLine="0"/>
              <w:jc w:val="center"/>
              <w:rPr>
                <w:b/>
                <w:bCs/>
                <w:color w:val="000000"/>
                <w:szCs w:val="20"/>
                <w:lang w:eastAsia="cs-CZ"/>
              </w:rPr>
            </w:pPr>
            <w:r w:rsidRPr="00FB4118">
              <w:rPr>
                <w:b/>
                <w:bCs/>
                <w:color w:val="000000"/>
                <w:szCs w:val="20"/>
                <w:lang w:eastAsia="cs-CZ"/>
              </w:rPr>
              <w:t>3</w:t>
            </w:r>
          </w:p>
        </w:tc>
        <w:tc>
          <w:tcPr>
            <w:tcW w:w="807" w:type="pct"/>
            <w:tcBorders>
              <w:left w:val="nil"/>
              <w:bottom w:val="single" w:sz="8" w:space="0" w:color="8064A2"/>
              <w:right w:val="nil"/>
            </w:tcBorders>
            <w:shd w:val="clear" w:color="auto" w:fill="auto"/>
            <w:noWrap/>
          </w:tcPr>
          <w:p w:rsidR="00B050F7" w:rsidRPr="00AA2A63" w:rsidRDefault="00B050F7" w:rsidP="00B050F7">
            <w:pPr>
              <w:spacing w:after="0"/>
              <w:ind w:firstLine="0"/>
              <w:jc w:val="center"/>
              <w:rPr>
                <w:b/>
                <w:bCs/>
                <w:color w:val="000000"/>
                <w:szCs w:val="20"/>
                <w:lang w:eastAsia="cs-CZ"/>
              </w:rPr>
            </w:pPr>
            <w:r w:rsidRPr="00AA2A63">
              <w:rPr>
                <w:b/>
                <w:bCs/>
                <w:color w:val="000000"/>
                <w:szCs w:val="20"/>
                <w:lang w:eastAsia="cs-CZ"/>
              </w:rPr>
              <w:t>1</w:t>
            </w:r>
          </w:p>
        </w:tc>
        <w:tc>
          <w:tcPr>
            <w:tcW w:w="594" w:type="pct"/>
            <w:tcBorders>
              <w:left w:val="nil"/>
              <w:bottom w:val="single" w:sz="8" w:space="0" w:color="8064A2"/>
              <w:right w:val="nil"/>
            </w:tcBorders>
            <w:shd w:val="clear" w:color="auto" w:fill="auto"/>
            <w:noWrap/>
          </w:tcPr>
          <w:p w:rsidR="00B050F7" w:rsidRPr="00AA2A63" w:rsidRDefault="00B050F7" w:rsidP="00B050F7">
            <w:pPr>
              <w:spacing w:after="0"/>
              <w:ind w:firstLine="0"/>
              <w:jc w:val="center"/>
              <w:rPr>
                <w:b/>
                <w:bCs/>
                <w:color w:val="000000"/>
                <w:szCs w:val="20"/>
                <w:lang w:eastAsia="cs-CZ"/>
              </w:rPr>
            </w:pPr>
            <w:r w:rsidRPr="00AA2A63">
              <w:rPr>
                <w:b/>
                <w:bCs/>
                <w:color w:val="000000"/>
                <w:szCs w:val="20"/>
                <w:lang w:eastAsia="cs-CZ"/>
              </w:rPr>
              <w:t>1</w:t>
            </w:r>
          </w:p>
        </w:tc>
        <w:tc>
          <w:tcPr>
            <w:tcW w:w="675" w:type="pct"/>
            <w:tcBorders>
              <w:left w:val="nil"/>
              <w:bottom w:val="single" w:sz="8" w:space="0" w:color="8064A2"/>
              <w:right w:val="nil"/>
            </w:tcBorders>
            <w:shd w:val="clear" w:color="auto" w:fill="auto"/>
            <w:noWrap/>
          </w:tcPr>
          <w:p w:rsidR="00B050F7" w:rsidRPr="00AA2A63" w:rsidRDefault="00B050F7" w:rsidP="00B050F7">
            <w:pPr>
              <w:spacing w:after="0"/>
              <w:ind w:firstLine="0"/>
              <w:jc w:val="center"/>
              <w:rPr>
                <w:b/>
                <w:bCs/>
                <w:color w:val="000000"/>
                <w:szCs w:val="20"/>
                <w:lang w:eastAsia="cs-CZ"/>
              </w:rPr>
            </w:pPr>
            <w:r w:rsidRPr="00AA2A63">
              <w:rPr>
                <w:b/>
                <w:bCs/>
                <w:color w:val="000000"/>
                <w:szCs w:val="20"/>
                <w:lang w:eastAsia="cs-CZ"/>
              </w:rPr>
              <w:t>1</w:t>
            </w:r>
          </w:p>
        </w:tc>
        <w:tc>
          <w:tcPr>
            <w:tcW w:w="445" w:type="pct"/>
            <w:tcBorders>
              <w:left w:val="nil"/>
              <w:bottom w:val="single" w:sz="8" w:space="0" w:color="8064A2"/>
              <w:right w:val="nil"/>
            </w:tcBorders>
            <w:shd w:val="clear" w:color="auto" w:fill="auto"/>
            <w:noWrap/>
          </w:tcPr>
          <w:p w:rsidR="00B050F7" w:rsidRPr="00AA2A63" w:rsidRDefault="00B050F7" w:rsidP="00B050F7">
            <w:pPr>
              <w:spacing w:after="0"/>
              <w:ind w:firstLine="0"/>
              <w:jc w:val="center"/>
              <w:rPr>
                <w:b/>
                <w:bCs/>
                <w:color w:val="000000"/>
                <w:szCs w:val="20"/>
                <w:lang w:eastAsia="cs-CZ"/>
              </w:rPr>
            </w:pPr>
            <w:r w:rsidRPr="00AA2A63">
              <w:rPr>
                <w:b/>
                <w:bCs/>
                <w:color w:val="000000"/>
                <w:szCs w:val="20"/>
                <w:lang w:eastAsia="cs-CZ"/>
              </w:rPr>
              <w:t>1,33</w:t>
            </w:r>
          </w:p>
        </w:tc>
      </w:tr>
    </w:tbl>
    <w:p w:rsidR="00395E1E" w:rsidRPr="00D05029" w:rsidRDefault="00395E1E" w:rsidP="00395E1E">
      <w:pPr>
        <w:spacing w:after="0"/>
        <w:ind w:firstLine="0"/>
        <w:jc w:val="left"/>
        <w:rPr>
          <w:sz w:val="18"/>
        </w:rPr>
      </w:pPr>
      <w:r w:rsidRPr="00D05029">
        <w:rPr>
          <w:sz w:val="18"/>
        </w:rPr>
        <w:t xml:space="preserve">Hodnocení je v rozsahu od 1 do 3. Číslice 1 znamená nejlepší výsledek 3 je nejhorší. </w:t>
      </w:r>
    </w:p>
    <w:p w:rsidR="00B050F7" w:rsidRDefault="00B050F7" w:rsidP="00B050F7">
      <w:pPr>
        <w:pStyle w:val="Nadpis2"/>
      </w:pPr>
      <w:r w:rsidRPr="00C82225">
        <w:t>Implementace doporučené varianty a vynucování</w:t>
      </w:r>
    </w:p>
    <w:p w:rsidR="00B050F7" w:rsidRDefault="00B050F7" w:rsidP="00B050F7">
      <w:r>
        <w:t>Prokazování původu příjmů bude probíhat podle zákona o daních z příjmů, subsidiárně pak podle daňového řádu jako obecného právního předpisu pro správu daní.</w:t>
      </w:r>
    </w:p>
    <w:p w:rsidR="00B050F7" w:rsidRPr="003D3E09" w:rsidRDefault="00B050F7" w:rsidP="00B050F7">
      <w:r w:rsidRPr="0049054C">
        <w:t xml:space="preserve"> Kompetentním správcem daně jsou orgány Finanční správy České republiky. Správci daně budou vykonávat působnost podle zákona o daních z příjmů </w:t>
      </w:r>
      <w:r>
        <w:t xml:space="preserve">(tj. včetně novelizace provedené návrhem zákona) </w:t>
      </w:r>
      <w:r w:rsidRPr="0049054C">
        <w:t>a současně budou disponovat všemi vynucovacími nást</w:t>
      </w:r>
      <w:r>
        <w:t>roji podle daňového řádu (např. </w:t>
      </w:r>
      <w:r w:rsidRPr="0049054C">
        <w:t>možnost aktivně vyhledávat subjekty, provádět daňovou kontrolu, uložit pokutu za opožděné tvrzení daně).</w:t>
      </w:r>
    </w:p>
    <w:p w:rsidR="00B050F7" w:rsidRDefault="00B050F7" w:rsidP="00B050F7">
      <w:pPr>
        <w:pStyle w:val="Nadpis2"/>
      </w:pPr>
      <w:r w:rsidRPr="00C82225">
        <w:t xml:space="preserve">Přezkum účinnosti regulace </w:t>
      </w:r>
    </w:p>
    <w:p w:rsidR="00B050F7" w:rsidRPr="003D3E09" w:rsidRDefault="00B050F7" w:rsidP="00B050F7">
      <w:r>
        <w:t>Přezkum účinnosti navrhované úpravy bude náležet Ministerstvu financí.</w:t>
      </w:r>
    </w:p>
    <w:p w:rsidR="00B050F7" w:rsidRDefault="00B050F7" w:rsidP="00596D19">
      <w:pPr>
        <w:pStyle w:val="Nadpis2"/>
        <w:keepNext/>
        <w:ind w:left="578" w:hanging="578"/>
      </w:pPr>
      <w:r w:rsidRPr="00C82225">
        <w:lastRenderedPageBreak/>
        <w:t>Konzultace a zdroje dat</w:t>
      </w:r>
    </w:p>
    <w:p w:rsidR="00B050F7" w:rsidRPr="003D3E09" w:rsidRDefault="00B050F7" w:rsidP="00B050F7">
      <w:r>
        <w:t>Návrh právní úpravy byl konzultován se zástupci Generálního finančního ředitelství a</w:t>
      </w:r>
      <w:r w:rsidR="00B62867">
        <w:t xml:space="preserve"> dalších orgánů Finanční správy České republiky a</w:t>
      </w:r>
      <w:r>
        <w:t xml:space="preserve"> se zástupci odborné veřejnosti. Zároveň došlo k provedení srovnání mezinárodních úprav dané problematiky</w:t>
      </w:r>
      <w:r w:rsidR="003134D2">
        <w:t xml:space="preserve"> (viz příloha </w:t>
      </w:r>
      <w:r w:rsidR="00B62867">
        <w:t>důvodové zprávy)</w:t>
      </w:r>
      <w:r>
        <w:t>.</w:t>
      </w:r>
    </w:p>
    <w:p w:rsidR="00B050F7" w:rsidRPr="00C82225" w:rsidRDefault="00B050F7" w:rsidP="00AA2A63">
      <w:pPr>
        <w:pStyle w:val="Nadpis2"/>
      </w:pPr>
      <w:r w:rsidRPr="00C82225">
        <w:t>Kontakt na zpracovatele RIA</w:t>
      </w:r>
    </w:p>
    <w:p w:rsidR="00927BB5" w:rsidRDefault="00B050F7" w:rsidP="00AA2A63">
      <w:r>
        <w:t>JUDr</w:t>
      </w:r>
      <w:r w:rsidRPr="00C82225">
        <w:t xml:space="preserve">. </w:t>
      </w:r>
      <w:r>
        <w:t>Daniel Hušek</w:t>
      </w:r>
      <w:r w:rsidRPr="00C82225">
        <w:t xml:space="preserve">, </w:t>
      </w:r>
      <w:r>
        <w:t xml:space="preserve">Ministerstvo financí, </w:t>
      </w:r>
      <w:r w:rsidRPr="00C82225">
        <w:t>tel +420</w:t>
      </w:r>
      <w:r>
        <w:t> </w:t>
      </w:r>
      <w:r w:rsidRPr="00C82225">
        <w:t>257</w:t>
      </w:r>
      <w:r>
        <w:t xml:space="preserve"> </w:t>
      </w:r>
      <w:r w:rsidRPr="00C82225">
        <w:t>04</w:t>
      </w:r>
      <w:r>
        <w:t>4 485</w:t>
      </w:r>
      <w:r w:rsidRPr="00C82225">
        <w:t xml:space="preserve">, e-mail: </w:t>
      </w:r>
      <w:r>
        <w:t>Daniel</w:t>
      </w:r>
      <w:r w:rsidRPr="00261C7A">
        <w:t>.H</w:t>
      </w:r>
      <w:r>
        <w:t>usek</w:t>
      </w:r>
      <w:r w:rsidRPr="00261C7A">
        <w:t>@mfcr.cz</w:t>
      </w:r>
      <w:r>
        <w:t xml:space="preserve"> </w:t>
      </w:r>
    </w:p>
    <w:p w:rsidR="00927BB5" w:rsidRDefault="00927BB5">
      <w:pPr>
        <w:spacing w:after="0"/>
        <w:ind w:firstLine="0"/>
        <w:jc w:val="left"/>
      </w:pPr>
    </w:p>
    <w:sectPr w:rsidR="00927BB5" w:rsidSect="008A35C2">
      <w:headerReference w:type="default" r:id="rId9"/>
      <w:headerReference w:type="first" r:id="rId10"/>
      <w:pgSz w:w="11906" w:h="16838"/>
      <w:pgMar w:top="1247" w:right="1361" w:bottom="993"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D5" w:rsidRDefault="004542D5" w:rsidP="00817D6C">
      <w:pPr>
        <w:spacing w:after="0"/>
      </w:pPr>
      <w:r>
        <w:separator/>
      </w:r>
    </w:p>
  </w:endnote>
  <w:endnote w:type="continuationSeparator" w:id="0">
    <w:p w:rsidR="004542D5" w:rsidRDefault="004542D5" w:rsidP="00817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D5" w:rsidRDefault="004542D5" w:rsidP="00817D6C">
      <w:pPr>
        <w:spacing w:after="0"/>
      </w:pPr>
      <w:r>
        <w:separator/>
      </w:r>
    </w:p>
  </w:footnote>
  <w:footnote w:type="continuationSeparator" w:id="0">
    <w:p w:rsidR="004542D5" w:rsidRDefault="004542D5" w:rsidP="00817D6C">
      <w:pPr>
        <w:spacing w:after="0"/>
      </w:pPr>
      <w:r>
        <w:continuationSeparator/>
      </w:r>
    </w:p>
  </w:footnote>
  <w:footnote w:id="1">
    <w:p w:rsidR="00BC36E3" w:rsidRPr="00FB4118" w:rsidRDefault="00BC36E3" w:rsidP="00B050F7">
      <w:pPr>
        <w:pStyle w:val="Textpoznpodarou"/>
        <w:spacing w:after="0"/>
        <w:rPr>
          <w:rFonts w:asciiTheme="minorHAnsi" w:hAnsiTheme="minorHAnsi"/>
          <w:sz w:val="18"/>
          <w:szCs w:val="18"/>
        </w:rPr>
      </w:pPr>
      <w:r w:rsidRPr="00FB4118">
        <w:rPr>
          <w:rStyle w:val="Znakapoznpodarou"/>
          <w:rFonts w:asciiTheme="minorHAnsi" w:hAnsiTheme="minorHAnsi"/>
          <w:sz w:val="18"/>
          <w:szCs w:val="18"/>
        </w:rPr>
        <w:footnoteRef/>
      </w:r>
      <w:r w:rsidRPr="00FB4118">
        <w:rPr>
          <w:rFonts w:asciiTheme="minorHAnsi" w:hAnsiTheme="minorHAnsi"/>
          <w:sz w:val="18"/>
          <w:szCs w:val="18"/>
        </w:rPr>
        <w:t xml:space="preserve"> Srov. JÁNOŠÍKOVÁ, P. a kol</w:t>
      </w:r>
      <w:r w:rsidRPr="00FB4118">
        <w:rPr>
          <w:rFonts w:asciiTheme="minorHAnsi" w:hAnsiTheme="minorHAnsi"/>
          <w:i/>
          <w:sz w:val="18"/>
          <w:szCs w:val="18"/>
        </w:rPr>
        <w:t>. Finanční a daňové právo</w:t>
      </w:r>
      <w:r w:rsidRPr="00FB4118">
        <w:rPr>
          <w:rFonts w:asciiTheme="minorHAnsi" w:hAnsiTheme="minorHAnsi"/>
          <w:sz w:val="18"/>
          <w:szCs w:val="18"/>
        </w:rPr>
        <w:t>. Plzeň: Aleš Čeněk, 2009. s. 308.</w:t>
      </w:r>
    </w:p>
  </w:footnote>
  <w:footnote w:id="2">
    <w:p w:rsidR="00BC36E3" w:rsidRPr="00FB4118" w:rsidRDefault="00BC36E3" w:rsidP="00B050F7">
      <w:pPr>
        <w:pStyle w:val="Textpoznpodarou"/>
        <w:spacing w:after="0"/>
        <w:rPr>
          <w:rFonts w:asciiTheme="minorHAnsi" w:hAnsiTheme="minorHAnsi"/>
          <w:sz w:val="18"/>
          <w:szCs w:val="18"/>
        </w:rPr>
      </w:pPr>
      <w:r w:rsidRPr="00FB4118">
        <w:rPr>
          <w:rStyle w:val="Znakapoznpodarou"/>
          <w:rFonts w:asciiTheme="minorHAnsi" w:hAnsiTheme="minorHAnsi"/>
          <w:sz w:val="18"/>
          <w:szCs w:val="18"/>
        </w:rPr>
        <w:footnoteRef/>
      </w:r>
      <w:r w:rsidRPr="00FB4118">
        <w:rPr>
          <w:rFonts w:asciiTheme="minorHAnsi" w:hAnsiTheme="minorHAnsi"/>
          <w:sz w:val="18"/>
          <w:szCs w:val="18"/>
        </w:rPr>
        <w:t xml:space="preserve"> Srov. BAXA, J. a kol. </w:t>
      </w:r>
      <w:r w:rsidRPr="00FB4118">
        <w:rPr>
          <w:rFonts w:asciiTheme="minorHAnsi" w:hAnsiTheme="minorHAnsi"/>
          <w:i/>
          <w:sz w:val="18"/>
          <w:szCs w:val="18"/>
        </w:rPr>
        <w:t>Daňový řád. Komentář. I. díl</w:t>
      </w:r>
      <w:r w:rsidRPr="00FB4118">
        <w:rPr>
          <w:rFonts w:asciiTheme="minorHAnsi" w:hAnsiTheme="minorHAnsi"/>
          <w:sz w:val="18"/>
          <w:szCs w:val="18"/>
        </w:rPr>
        <w:t>. Praha: Wolters Kluwer ČR, 2011. s. 123.</w:t>
      </w:r>
    </w:p>
  </w:footnote>
  <w:footnote w:id="3">
    <w:p w:rsidR="00BC36E3" w:rsidRPr="006511AC" w:rsidRDefault="00BC36E3" w:rsidP="00B050F7">
      <w:pPr>
        <w:pStyle w:val="Textpoznpodarou"/>
        <w:spacing w:after="20"/>
        <w:rPr>
          <w:rFonts w:asciiTheme="minorHAnsi" w:hAnsiTheme="minorHAnsi" w:cstheme="minorHAnsi"/>
          <w:sz w:val="18"/>
          <w:szCs w:val="18"/>
        </w:rPr>
      </w:pPr>
      <w:r w:rsidRPr="006511AC">
        <w:rPr>
          <w:rStyle w:val="Znakapoznpodarou"/>
          <w:rFonts w:asciiTheme="minorHAnsi" w:hAnsiTheme="minorHAnsi" w:cstheme="minorHAnsi"/>
          <w:sz w:val="18"/>
          <w:szCs w:val="18"/>
        </w:rPr>
        <w:footnoteRef/>
      </w:r>
      <w:r w:rsidRPr="006511AC">
        <w:rPr>
          <w:rFonts w:asciiTheme="minorHAnsi" w:hAnsiTheme="minorHAnsi" w:cstheme="minorHAnsi"/>
          <w:sz w:val="18"/>
          <w:szCs w:val="18"/>
        </w:rPr>
        <w:t xml:space="preserve"> Rozhodnutí Ústavního soudu ze dne 18. 8. 2004, sp. zn. Pl. ÚS 7/03.</w:t>
      </w:r>
    </w:p>
  </w:footnote>
  <w:footnote w:id="4">
    <w:p w:rsidR="00BC36E3" w:rsidRPr="00271FDE" w:rsidRDefault="00BC36E3" w:rsidP="00B050F7">
      <w:pPr>
        <w:pStyle w:val="Textpoznpodarou"/>
        <w:spacing w:after="20"/>
        <w:rPr>
          <w:rFonts w:asciiTheme="minorHAnsi" w:hAnsiTheme="minorHAnsi" w:cstheme="minorHAnsi"/>
          <w:sz w:val="18"/>
          <w:szCs w:val="18"/>
        </w:rPr>
      </w:pPr>
      <w:r w:rsidRPr="006511AC">
        <w:rPr>
          <w:rStyle w:val="Znakapoznpodarou"/>
          <w:rFonts w:asciiTheme="minorHAnsi" w:hAnsiTheme="minorHAnsi" w:cstheme="minorHAnsi"/>
          <w:sz w:val="18"/>
          <w:szCs w:val="18"/>
        </w:rPr>
        <w:footnoteRef/>
      </w:r>
      <w:r w:rsidRPr="006511AC">
        <w:rPr>
          <w:rFonts w:asciiTheme="minorHAnsi" w:hAnsiTheme="minorHAnsi" w:cstheme="minorHAnsi"/>
          <w:sz w:val="18"/>
          <w:szCs w:val="18"/>
        </w:rPr>
        <w:t xml:space="preserve"> Rozhodnutí Ústavního soudu ze dne 8. 10. 1992, sp. zn. Pl. ÚS 22/92.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E3" w:rsidRDefault="00BC36E3">
    <w:pPr>
      <w:pStyle w:val="Zhlav"/>
      <w:jc w:val="center"/>
    </w:pPr>
    <w:r>
      <w:t xml:space="preserve">- </w:t>
    </w:r>
    <w:sdt>
      <w:sdtPr>
        <w:id w:val="285552785"/>
        <w:docPartObj>
          <w:docPartGallery w:val="Page Numbers (Top of Page)"/>
          <w:docPartUnique/>
        </w:docPartObj>
      </w:sdtPr>
      <w:sdtEndPr/>
      <w:sdtContent>
        <w:r w:rsidR="00E90A7E">
          <w:fldChar w:fldCharType="begin"/>
        </w:r>
        <w:r>
          <w:instrText>PAGE   \* MERGEFORMAT</w:instrText>
        </w:r>
        <w:r w:rsidR="00E90A7E">
          <w:fldChar w:fldCharType="separate"/>
        </w:r>
        <w:r w:rsidR="00FF7A11">
          <w:rPr>
            <w:noProof/>
          </w:rPr>
          <w:t>2</w:t>
        </w:r>
        <w:r w:rsidR="00E90A7E">
          <w:fldChar w:fldCharType="end"/>
        </w:r>
        <w:r>
          <w:t xml:space="preserve"> -</w:t>
        </w:r>
      </w:sdtContent>
    </w:sdt>
  </w:p>
  <w:p w:rsidR="00BC36E3" w:rsidRDefault="00BC36E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E3" w:rsidRPr="00B050F7" w:rsidRDefault="00BC36E3" w:rsidP="00B050F7">
    <w:pPr>
      <w:tabs>
        <w:tab w:val="center" w:pos="4536"/>
        <w:tab w:val="right" w:pos="9072"/>
      </w:tabs>
      <w:ind w:firstLine="0"/>
      <w:jc w:val="right"/>
      <w:rPr>
        <w:rFonts w:ascii="Times New Roman" w:hAnsi="Times New Roman"/>
        <w:b/>
        <w:sz w:val="24"/>
        <w:szCs w:val="24"/>
        <w:lang w:eastAsia="cs-CZ"/>
      </w:rPr>
    </w:pPr>
    <w:r w:rsidRPr="00B050F7">
      <w:rPr>
        <w:rFonts w:ascii="Times New Roman" w:hAnsi="Times New Roman"/>
        <w:b/>
        <w:sz w:val="24"/>
        <w:szCs w:val="24"/>
        <w:lang w:eastAsia="cs-CZ"/>
      </w:rPr>
      <w:t>IV.</w:t>
    </w:r>
    <w:r>
      <w:rPr>
        <w:rFonts w:ascii="Times New Roman" w:hAnsi="Times New Roman"/>
        <w:b/>
        <w:sz w:val="24"/>
        <w:szCs w:val="24"/>
        <w:lang w:eastAsia="cs-CZ"/>
      </w:rPr>
      <w:t xml:space="preserve"> a</w:t>
    </w:r>
    <w:r w:rsidRPr="00B050F7">
      <w:rPr>
        <w:rFonts w:ascii="Times New Roman" w:hAnsi="Times New Roman"/>
        <w:b/>
        <w:sz w:val="24"/>
        <w:szCs w:val="24"/>
        <w:lang w:eastAsia="cs-CZ"/>
      </w:rPr>
      <w:t>.</w:t>
    </w:r>
  </w:p>
  <w:p w:rsidR="00BC36E3" w:rsidRDefault="00BC36E3">
    <w:pPr>
      <w:pStyle w:val="Zhlav"/>
    </w:pPr>
  </w:p>
  <w:p w:rsidR="00BC36E3" w:rsidRDefault="00BC36E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942"/>
    <w:multiLevelType w:val="hybridMultilevel"/>
    <w:tmpl w:val="59E879B4"/>
    <w:lvl w:ilvl="0" w:tplc="9624612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nsid w:val="01C34F66"/>
    <w:multiLevelType w:val="hybridMultilevel"/>
    <w:tmpl w:val="35E0569C"/>
    <w:lvl w:ilvl="0" w:tplc="0722F08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4F843EF"/>
    <w:multiLevelType w:val="hybridMultilevel"/>
    <w:tmpl w:val="D85E45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1E93214"/>
    <w:multiLevelType w:val="multilevel"/>
    <w:tmpl w:val="745C65F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28F91AE3"/>
    <w:multiLevelType w:val="hybridMultilevel"/>
    <w:tmpl w:val="3B84AAAC"/>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nsid w:val="2D6839D6"/>
    <w:multiLevelType w:val="hybridMultilevel"/>
    <w:tmpl w:val="0D26E05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nsid w:val="31F65C75"/>
    <w:multiLevelType w:val="multilevel"/>
    <w:tmpl w:val="745C65F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340D1F55"/>
    <w:multiLevelType w:val="hybridMultilevel"/>
    <w:tmpl w:val="50CC194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nsid w:val="356A53FB"/>
    <w:multiLevelType w:val="hybridMultilevel"/>
    <w:tmpl w:val="1D161E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5D903E4"/>
    <w:multiLevelType w:val="hybridMultilevel"/>
    <w:tmpl w:val="C6A64D80"/>
    <w:lvl w:ilvl="0" w:tplc="47FAC7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4B0694"/>
    <w:multiLevelType w:val="hybridMultilevel"/>
    <w:tmpl w:val="3CD070D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nsid w:val="3CED0429"/>
    <w:multiLevelType w:val="hybridMultilevel"/>
    <w:tmpl w:val="756AFA4E"/>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2">
    <w:nsid w:val="439E579F"/>
    <w:multiLevelType w:val="hybridMultilevel"/>
    <w:tmpl w:val="68DC2692"/>
    <w:lvl w:ilvl="0" w:tplc="04050015">
      <w:start w:val="1"/>
      <w:numFmt w:val="upperLetter"/>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3">
    <w:nsid w:val="49F62E36"/>
    <w:multiLevelType w:val="hybridMultilevel"/>
    <w:tmpl w:val="03B80B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4B956668"/>
    <w:multiLevelType w:val="multilevel"/>
    <w:tmpl w:val="F588F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E1838B0"/>
    <w:multiLevelType w:val="hybridMultilevel"/>
    <w:tmpl w:val="3946A34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nsid w:val="50E51EE1"/>
    <w:multiLevelType w:val="hybridMultilevel"/>
    <w:tmpl w:val="B3B6F45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nsid w:val="56A13804"/>
    <w:multiLevelType w:val="hybridMultilevel"/>
    <w:tmpl w:val="83EEEBA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nsid w:val="56D90934"/>
    <w:multiLevelType w:val="multilevel"/>
    <w:tmpl w:val="74BA86D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591667E7"/>
    <w:multiLevelType w:val="hybridMultilevel"/>
    <w:tmpl w:val="E6C83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87647760">
      <w:numFmt w:val="bullet"/>
      <w:lvlText w:val="•"/>
      <w:lvlJc w:val="left"/>
      <w:pPr>
        <w:ind w:left="3585" w:hanging="705"/>
      </w:pPr>
      <w:rPr>
        <w:rFonts w:ascii="Times New Roman" w:eastAsia="Times New Roman" w:hAnsi="Times New Roman"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FFE5AA3"/>
    <w:multiLevelType w:val="hybridMultilevel"/>
    <w:tmpl w:val="F1A28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nsid w:val="6C45745A"/>
    <w:multiLevelType w:val="hybridMultilevel"/>
    <w:tmpl w:val="35E0569C"/>
    <w:lvl w:ilvl="0" w:tplc="0722F08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C717371"/>
    <w:multiLevelType w:val="hybridMultilevel"/>
    <w:tmpl w:val="1A4ACB2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nsid w:val="74C63014"/>
    <w:multiLevelType w:val="hybridMultilevel"/>
    <w:tmpl w:val="6226D74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nsid w:val="74FE030D"/>
    <w:multiLevelType w:val="hybridMultilevel"/>
    <w:tmpl w:val="6D1662B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nsid w:val="77857752"/>
    <w:multiLevelType w:val="hybridMultilevel"/>
    <w:tmpl w:val="D082C57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nsid w:val="7B233A49"/>
    <w:multiLevelType w:val="multilevel"/>
    <w:tmpl w:val="BB22A8AA"/>
    <w:lvl w:ilvl="0">
      <w:start w:val="1"/>
      <w:numFmt w:val="decimal"/>
      <w:pStyle w:val="Nadpis1"/>
      <w:lvlText w:val="%1."/>
      <w:lvlJc w:val="left"/>
      <w:pPr>
        <w:ind w:left="432" w:hanging="432"/>
      </w:pPr>
      <w:rPr>
        <w:rFonts w:ascii="Cambria" w:eastAsia="Times New Roman" w:hAnsi="Cambria" w:cs="Times New Roman"/>
      </w:rPr>
    </w:lvl>
    <w:lvl w:ilvl="1">
      <w:start w:val="1"/>
      <w:numFmt w:val="decimal"/>
      <w:pStyle w:val="Nadpis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rPr>
        <w:rFonts w:cs="Times New Roman" w:hint="default"/>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num w:numId="1">
    <w:abstractNumId w:val="3"/>
  </w:num>
  <w:num w:numId="2">
    <w:abstractNumId w:val="27"/>
  </w:num>
  <w:num w:numId="3">
    <w:abstractNumId w:val="6"/>
  </w:num>
  <w:num w:numId="4">
    <w:abstractNumId w:val="26"/>
  </w:num>
  <w:num w:numId="5">
    <w:abstractNumId w:val="27"/>
  </w:num>
  <w:num w:numId="6">
    <w:abstractNumId w:val="12"/>
  </w:num>
  <w:num w:numId="7">
    <w:abstractNumId w:val="25"/>
  </w:num>
  <w:num w:numId="8">
    <w:abstractNumId w:val="27"/>
  </w:num>
  <w:num w:numId="9">
    <w:abstractNumId w:val="27"/>
  </w:num>
  <w:num w:numId="10">
    <w:abstractNumId w:val="24"/>
  </w:num>
  <w:num w:numId="11">
    <w:abstractNumId w:val="27"/>
  </w:num>
  <w:num w:numId="12">
    <w:abstractNumId w:val="27"/>
  </w:num>
  <w:num w:numId="13">
    <w:abstractNumId w:val="27"/>
  </w:num>
  <w:num w:numId="14">
    <w:abstractNumId w:val="27"/>
  </w:num>
  <w:num w:numId="15">
    <w:abstractNumId w:val="27"/>
  </w:num>
  <w:num w:numId="16">
    <w:abstractNumId w:val="10"/>
  </w:num>
  <w:num w:numId="17">
    <w:abstractNumId w:val="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5"/>
  </w:num>
  <w:num w:numId="22">
    <w:abstractNumId w:val="27"/>
  </w:num>
  <w:num w:numId="23">
    <w:abstractNumId w:val="19"/>
  </w:num>
  <w:num w:numId="24">
    <w:abstractNumId w:val="11"/>
  </w:num>
  <w:num w:numId="25">
    <w:abstractNumId w:val="22"/>
  </w:num>
  <w:num w:numId="26">
    <w:abstractNumId w:val="2"/>
  </w:num>
  <w:num w:numId="27">
    <w:abstractNumId w:val="8"/>
  </w:num>
  <w:num w:numId="28">
    <w:abstractNumId w:val="13"/>
  </w:num>
  <w:num w:numId="29">
    <w:abstractNumId w:val="27"/>
  </w:num>
  <w:num w:numId="30">
    <w:abstractNumId w:val="27"/>
  </w:num>
  <w:num w:numId="31">
    <w:abstractNumId w:val="27"/>
  </w:num>
  <w:num w:numId="32">
    <w:abstractNumId w:val="14"/>
  </w:num>
  <w:num w:numId="33">
    <w:abstractNumId w:val="27"/>
  </w:num>
  <w:num w:numId="34">
    <w:abstractNumId w:val="1"/>
  </w:num>
  <w:num w:numId="35">
    <w:abstractNumId w:val="15"/>
  </w:num>
  <w:num w:numId="36">
    <w:abstractNumId w:val="27"/>
  </w:num>
  <w:num w:numId="37">
    <w:abstractNumId w:val="27"/>
  </w:num>
  <w:num w:numId="38">
    <w:abstractNumId w:val="27"/>
  </w:num>
  <w:num w:numId="39">
    <w:abstractNumId w:val="0"/>
  </w:num>
  <w:num w:numId="40">
    <w:abstractNumId w:val="18"/>
  </w:num>
  <w:num w:numId="41">
    <w:abstractNumId w:val="4"/>
  </w:num>
  <w:num w:numId="42">
    <w:abstractNumId w:val="23"/>
  </w:num>
  <w:num w:numId="43">
    <w:abstractNumId w:val="9"/>
  </w:num>
  <w:num w:numId="44">
    <w:abstractNumId w:val="17"/>
  </w:num>
  <w:num w:numId="45">
    <w:abstractNumId w:val="2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3B"/>
    <w:rsid w:val="00000C59"/>
    <w:rsid w:val="000029EA"/>
    <w:rsid w:val="0000489B"/>
    <w:rsid w:val="000070F6"/>
    <w:rsid w:val="000141E5"/>
    <w:rsid w:val="00015ABA"/>
    <w:rsid w:val="00016919"/>
    <w:rsid w:val="00020115"/>
    <w:rsid w:val="000230D1"/>
    <w:rsid w:val="000254A9"/>
    <w:rsid w:val="000257E4"/>
    <w:rsid w:val="00026ACF"/>
    <w:rsid w:val="0003506C"/>
    <w:rsid w:val="00036AC6"/>
    <w:rsid w:val="00036B21"/>
    <w:rsid w:val="000417A6"/>
    <w:rsid w:val="00042403"/>
    <w:rsid w:val="0004279B"/>
    <w:rsid w:val="00044673"/>
    <w:rsid w:val="00045A84"/>
    <w:rsid w:val="0005451A"/>
    <w:rsid w:val="0006050C"/>
    <w:rsid w:val="00060D24"/>
    <w:rsid w:val="00063836"/>
    <w:rsid w:val="000777CD"/>
    <w:rsid w:val="00080902"/>
    <w:rsid w:val="00080E30"/>
    <w:rsid w:val="00081650"/>
    <w:rsid w:val="0008569F"/>
    <w:rsid w:val="0009269B"/>
    <w:rsid w:val="000A3B32"/>
    <w:rsid w:val="000A40A4"/>
    <w:rsid w:val="000A5C76"/>
    <w:rsid w:val="000C135A"/>
    <w:rsid w:val="000C731E"/>
    <w:rsid w:val="000C7CF9"/>
    <w:rsid w:val="000D1525"/>
    <w:rsid w:val="000D1891"/>
    <w:rsid w:val="000D4C7E"/>
    <w:rsid w:val="000D7C6E"/>
    <w:rsid w:val="000E0871"/>
    <w:rsid w:val="000E140F"/>
    <w:rsid w:val="000E71DF"/>
    <w:rsid w:val="000F2D50"/>
    <w:rsid w:val="000F5033"/>
    <w:rsid w:val="000F5E4F"/>
    <w:rsid w:val="00106C2C"/>
    <w:rsid w:val="00115759"/>
    <w:rsid w:val="00122CD3"/>
    <w:rsid w:val="00122F23"/>
    <w:rsid w:val="001253AC"/>
    <w:rsid w:val="0012777D"/>
    <w:rsid w:val="0013196C"/>
    <w:rsid w:val="0013521A"/>
    <w:rsid w:val="00136C98"/>
    <w:rsid w:val="00137C20"/>
    <w:rsid w:val="00140BD8"/>
    <w:rsid w:val="0014177B"/>
    <w:rsid w:val="00141C8B"/>
    <w:rsid w:val="00145D4D"/>
    <w:rsid w:val="00154A98"/>
    <w:rsid w:val="00161619"/>
    <w:rsid w:val="00163DF1"/>
    <w:rsid w:val="00166251"/>
    <w:rsid w:val="00177569"/>
    <w:rsid w:val="00180267"/>
    <w:rsid w:val="0018747F"/>
    <w:rsid w:val="00192510"/>
    <w:rsid w:val="001B1F8B"/>
    <w:rsid w:val="001B2948"/>
    <w:rsid w:val="001B39A7"/>
    <w:rsid w:val="001B3CDF"/>
    <w:rsid w:val="001C2AB4"/>
    <w:rsid w:val="001C2E7E"/>
    <w:rsid w:val="001C35D0"/>
    <w:rsid w:val="001C6416"/>
    <w:rsid w:val="001E6B5D"/>
    <w:rsid w:val="001F04EB"/>
    <w:rsid w:val="001F3E32"/>
    <w:rsid w:val="00201CD1"/>
    <w:rsid w:val="002038F6"/>
    <w:rsid w:val="00206FC9"/>
    <w:rsid w:val="002118DB"/>
    <w:rsid w:val="00215FC0"/>
    <w:rsid w:val="002170AE"/>
    <w:rsid w:val="00223328"/>
    <w:rsid w:val="00225826"/>
    <w:rsid w:val="002302C2"/>
    <w:rsid w:val="002304A2"/>
    <w:rsid w:val="00231760"/>
    <w:rsid w:val="00233893"/>
    <w:rsid w:val="002339B3"/>
    <w:rsid w:val="002378E0"/>
    <w:rsid w:val="0023799E"/>
    <w:rsid w:val="002405A3"/>
    <w:rsid w:val="00240C57"/>
    <w:rsid w:val="00244C67"/>
    <w:rsid w:val="00244D07"/>
    <w:rsid w:val="00246DA0"/>
    <w:rsid w:val="0025242E"/>
    <w:rsid w:val="00260769"/>
    <w:rsid w:val="00261C7A"/>
    <w:rsid w:val="00261E22"/>
    <w:rsid w:val="002711EE"/>
    <w:rsid w:val="00271FDE"/>
    <w:rsid w:val="00272F54"/>
    <w:rsid w:val="00275D5D"/>
    <w:rsid w:val="00280592"/>
    <w:rsid w:val="0028216B"/>
    <w:rsid w:val="0028297C"/>
    <w:rsid w:val="00286293"/>
    <w:rsid w:val="00287592"/>
    <w:rsid w:val="00294E83"/>
    <w:rsid w:val="002971A3"/>
    <w:rsid w:val="002A0CC0"/>
    <w:rsid w:val="002A1413"/>
    <w:rsid w:val="002A34A6"/>
    <w:rsid w:val="002A5110"/>
    <w:rsid w:val="002A543A"/>
    <w:rsid w:val="002B26A3"/>
    <w:rsid w:val="002B2C3F"/>
    <w:rsid w:val="002B412C"/>
    <w:rsid w:val="002B612B"/>
    <w:rsid w:val="002C4096"/>
    <w:rsid w:val="002D27EB"/>
    <w:rsid w:val="002E0E0E"/>
    <w:rsid w:val="002E1A58"/>
    <w:rsid w:val="002E3FA6"/>
    <w:rsid w:val="002F648D"/>
    <w:rsid w:val="002F67E7"/>
    <w:rsid w:val="00300DF8"/>
    <w:rsid w:val="003134D2"/>
    <w:rsid w:val="00314E17"/>
    <w:rsid w:val="00316A15"/>
    <w:rsid w:val="003225CF"/>
    <w:rsid w:val="003227FE"/>
    <w:rsid w:val="00326288"/>
    <w:rsid w:val="0032753D"/>
    <w:rsid w:val="0033073F"/>
    <w:rsid w:val="00331D48"/>
    <w:rsid w:val="00333FC4"/>
    <w:rsid w:val="003349BE"/>
    <w:rsid w:val="00336587"/>
    <w:rsid w:val="00336F55"/>
    <w:rsid w:val="0034149A"/>
    <w:rsid w:val="003437B6"/>
    <w:rsid w:val="0034407D"/>
    <w:rsid w:val="00344273"/>
    <w:rsid w:val="003469E4"/>
    <w:rsid w:val="00350B40"/>
    <w:rsid w:val="00351B65"/>
    <w:rsid w:val="003523FA"/>
    <w:rsid w:val="00370840"/>
    <w:rsid w:val="003737CD"/>
    <w:rsid w:val="00374931"/>
    <w:rsid w:val="0038038D"/>
    <w:rsid w:val="00380D28"/>
    <w:rsid w:val="00381E9A"/>
    <w:rsid w:val="00386707"/>
    <w:rsid w:val="003874E2"/>
    <w:rsid w:val="0039091A"/>
    <w:rsid w:val="00390E3D"/>
    <w:rsid w:val="003922EE"/>
    <w:rsid w:val="00395E1E"/>
    <w:rsid w:val="00397897"/>
    <w:rsid w:val="003A0419"/>
    <w:rsid w:val="003B06C0"/>
    <w:rsid w:val="003B0E7C"/>
    <w:rsid w:val="003B59B9"/>
    <w:rsid w:val="003B7653"/>
    <w:rsid w:val="003B78C2"/>
    <w:rsid w:val="003C08DD"/>
    <w:rsid w:val="003C0FCC"/>
    <w:rsid w:val="003C2530"/>
    <w:rsid w:val="003C4546"/>
    <w:rsid w:val="003D3E09"/>
    <w:rsid w:val="003D6E50"/>
    <w:rsid w:val="003E2F6C"/>
    <w:rsid w:val="003F2DE9"/>
    <w:rsid w:val="00400871"/>
    <w:rsid w:val="00406F76"/>
    <w:rsid w:val="004076BD"/>
    <w:rsid w:val="00412234"/>
    <w:rsid w:val="004214B2"/>
    <w:rsid w:val="004247D1"/>
    <w:rsid w:val="00425367"/>
    <w:rsid w:val="00430146"/>
    <w:rsid w:val="004330FA"/>
    <w:rsid w:val="004364EA"/>
    <w:rsid w:val="00440199"/>
    <w:rsid w:val="00441B4C"/>
    <w:rsid w:val="00442682"/>
    <w:rsid w:val="0044517C"/>
    <w:rsid w:val="00445BA4"/>
    <w:rsid w:val="0045005E"/>
    <w:rsid w:val="004542D5"/>
    <w:rsid w:val="0045451C"/>
    <w:rsid w:val="004550A1"/>
    <w:rsid w:val="00455CBA"/>
    <w:rsid w:val="00456F2A"/>
    <w:rsid w:val="00460B79"/>
    <w:rsid w:val="00463A0B"/>
    <w:rsid w:val="00463C5D"/>
    <w:rsid w:val="00464EB0"/>
    <w:rsid w:val="00470B60"/>
    <w:rsid w:val="0047633E"/>
    <w:rsid w:val="004776BE"/>
    <w:rsid w:val="00482D98"/>
    <w:rsid w:val="00484A1E"/>
    <w:rsid w:val="004871FF"/>
    <w:rsid w:val="004879CE"/>
    <w:rsid w:val="004B1E8F"/>
    <w:rsid w:val="004B3E0A"/>
    <w:rsid w:val="004B5164"/>
    <w:rsid w:val="004B6D1C"/>
    <w:rsid w:val="004C1795"/>
    <w:rsid w:val="004C1DE6"/>
    <w:rsid w:val="004C3356"/>
    <w:rsid w:val="004C6561"/>
    <w:rsid w:val="004C7185"/>
    <w:rsid w:val="004E7B29"/>
    <w:rsid w:val="004F1E61"/>
    <w:rsid w:val="004F28CC"/>
    <w:rsid w:val="004F4463"/>
    <w:rsid w:val="004F5881"/>
    <w:rsid w:val="00500A0F"/>
    <w:rsid w:val="005031EF"/>
    <w:rsid w:val="0050569C"/>
    <w:rsid w:val="00505AFD"/>
    <w:rsid w:val="00514756"/>
    <w:rsid w:val="005200E1"/>
    <w:rsid w:val="005250D0"/>
    <w:rsid w:val="00527148"/>
    <w:rsid w:val="0053482C"/>
    <w:rsid w:val="005353EC"/>
    <w:rsid w:val="00535D22"/>
    <w:rsid w:val="00536ACA"/>
    <w:rsid w:val="005401E7"/>
    <w:rsid w:val="00540AE1"/>
    <w:rsid w:val="00542D14"/>
    <w:rsid w:val="00543F1D"/>
    <w:rsid w:val="00545282"/>
    <w:rsid w:val="0055116D"/>
    <w:rsid w:val="005578FB"/>
    <w:rsid w:val="005579D1"/>
    <w:rsid w:val="00567164"/>
    <w:rsid w:val="0057540B"/>
    <w:rsid w:val="0057543B"/>
    <w:rsid w:val="00575592"/>
    <w:rsid w:val="005760E0"/>
    <w:rsid w:val="00581A9F"/>
    <w:rsid w:val="0059687F"/>
    <w:rsid w:val="00596D19"/>
    <w:rsid w:val="00597963"/>
    <w:rsid w:val="005A0266"/>
    <w:rsid w:val="005A21C0"/>
    <w:rsid w:val="005A2458"/>
    <w:rsid w:val="005A4D37"/>
    <w:rsid w:val="005A6D6F"/>
    <w:rsid w:val="005B2B36"/>
    <w:rsid w:val="005B73C2"/>
    <w:rsid w:val="005C1AD2"/>
    <w:rsid w:val="005D252A"/>
    <w:rsid w:val="005E215D"/>
    <w:rsid w:val="005E65E3"/>
    <w:rsid w:val="005E7F99"/>
    <w:rsid w:val="005F2308"/>
    <w:rsid w:val="005F4D54"/>
    <w:rsid w:val="00611D9C"/>
    <w:rsid w:val="006122A5"/>
    <w:rsid w:val="006130C3"/>
    <w:rsid w:val="00617663"/>
    <w:rsid w:val="00620517"/>
    <w:rsid w:val="00620960"/>
    <w:rsid w:val="0062572C"/>
    <w:rsid w:val="006328E9"/>
    <w:rsid w:val="00636D57"/>
    <w:rsid w:val="0064530C"/>
    <w:rsid w:val="0064550B"/>
    <w:rsid w:val="006511AC"/>
    <w:rsid w:val="006515B5"/>
    <w:rsid w:val="00653CB5"/>
    <w:rsid w:val="00654CF5"/>
    <w:rsid w:val="0065710F"/>
    <w:rsid w:val="00660102"/>
    <w:rsid w:val="006613B9"/>
    <w:rsid w:val="00662F83"/>
    <w:rsid w:val="00674A04"/>
    <w:rsid w:val="00676B30"/>
    <w:rsid w:val="0068165C"/>
    <w:rsid w:val="0068563A"/>
    <w:rsid w:val="00687DBB"/>
    <w:rsid w:val="00691A05"/>
    <w:rsid w:val="00692CC7"/>
    <w:rsid w:val="0069734A"/>
    <w:rsid w:val="006A5A92"/>
    <w:rsid w:val="006A755B"/>
    <w:rsid w:val="006A75C0"/>
    <w:rsid w:val="006B25E8"/>
    <w:rsid w:val="006B2C7E"/>
    <w:rsid w:val="006C3963"/>
    <w:rsid w:val="006C5AB3"/>
    <w:rsid w:val="006C7AF4"/>
    <w:rsid w:val="006D7444"/>
    <w:rsid w:val="006E46CD"/>
    <w:rsid w:val="006E677A"/>
    <w:rsid w:val="006F0CB4"/>
    <w:rsid w:val="006F227F"/>
    <w:rsid w:val="006F4503"/>
    <w:rsid w:val="00710621"/>
    <w:rsid w:val="00712DBF"/>
    <w:rsid w:val="00713889"/>
    <w:rsid w:val="00714A27"/>
    <w:rsid w:val="00714F25"/>
    <w:rsid w:val="00720801"/>
    <w:rsid w:val="007218F1"/>
    <w:rsid w:val="007233EE"/>
    <w:rsid w:val="007311A9"/>
    <w:rsid w:val="007324E6"/>
    <w:rsid w:val="007345F1"/>
    <w:rsid w:val="007357A6"/>
    <w:rsid w:val="007368E6"/>
    <w:rsid w:val="00741B1A"/>
    <w:rsid w:val="007448A1"/>
    <w:rsid w:val="00750215"/>
    <w:rsid w:val="0075299D"/>
    <w:rsid w:val="00753A3B"/>
    <w:rsid w:val="00755AF6"/>
    <w:rsid w:val="0075722B"/>
    <w:rsid w:val="00757F76"/>
    <w:rsid w:val="0076054A"/>
    <w:rsid w:val="00765752"/>
    <w:rsid w:val="007666A5"/>
    <w:rsid w:val="00766E21"/>
    <w:rsid w:val="00770F00"/>
    <w:rsid w:val="00772225"/>
    <w:rsid w:val="00774725"/>
    <w:rsid w:val="00774883"/>
    <w:rsid w:val="00777338"/>
    <w:rsid w:val="007806D9"/>
    <w:rsid w:val="00784FF9"/>
    <w:rsid w:val="00785313"/>
    <w:rsid w:val="007854B4"/>
    <w:rsid w:val="00785D5F"/>
    <w:rsid w:val="00786D4A"/>
    <w:rsid w:val="007923AC"/>
    <w:rsid w:val="00793474"/>
    <w:rsid w:val="00794D06"/>
    <w:rsid w:val="007960A6"/>
    <w:rsid w:val="007A5020"/>
    <w:rsid w:val="007A5CB3"/>
    <w:rsid w:val="007A61C2"/>
    <w:rsid w:val="007B7A27"/>
    <w:rsid w:val="007C5113"/>
    <w:rsid w:val="007D198F"/>
    <w:rsid w:val="007D1E4F"/>
    <w:rsid w:val="007D29A3"/>
    <w:rsid w:val="007E1E64"/>
    <w:rsid w:val="007E7C57"/>
    <w:rsid w:val="007F182C"/>
    <w:rsid w:val="007F3330"/>
    <w:rsid w:val="0080301F"/>
    <w:rsid w:val="00817D6C"/>
    <w:rsid w:val="00822F7D"/>
    <w:rsid w:val="00830D5D"/>
    <w:rsid w:val="00831114"/>
    <w:rsid w:val="0083150D"/>
    <w:rsid w:val="00837CE5"/>
    <w:rsid w:val="008404D7"/>
    <w:rsid w:val="00842F4D"/>
    <w:rsid w:val="00844BF1"/>
    <w:rsid w:val="0084757E"/>
    <w:rsid w:val="0085355A"/>
    <w:rsid w:val="008554C5"/>
    <w:rsid w:val="00855DE0"/>
    <w:rsid w:val="008625B9"/>
    <w:rsid w:val="00863CDB"/>
    <w:rsid w:val="00871055"/>
    <w:rsid w:val="00872138"/>
    <w:rsid w:val="00872AAF"/>
    <w:rsid w:val="00872BBC"/>
    <w:rsid w:val="0087621C"/>
    <w:rsid w:val="00876467"/>
    <w:rsid w:val="0087794F"/>
    <w:rsid w:val="00886577"/>
    <w:rsid w:val="00887097"/>
    <w:rsid w:val="008900BB"/>
    <w:rsid w:val="008A1294"/>
    <w:rsid w:val="008A35C2"/>
    <w:rsid w:val="008A3A88"/>
    <w:rsid w:val="008A6ECC"/>
    <w:rsid w:val="008B09CD"/>
    <w:rsid w:val="008B6434"/>
    <w:rsid w:val="008B6874"/>
    <w:rsid w:val="008B6A89"/>
    <w:rsid w:val="008C6D55"/>
    <w:rsid w:val="008C74CF"/>
    <w:rsid w:val="008D0801"/>
    <w:rsid w:val="008D69DD"/>
    <w:rsid w:val="008D6EED"/>
    <w:rsid w:val="008E15FE"/>
    <w:rsid w:val="008E1C6B"/>
    <w:rsid w:val="008F1ED6"/>
    <w:rsid w:val="008F48F8"/>
    <w:rsid w:val="008F6666"/>
    <w:rsid w:val="00903E6E"/>
    <w:rsid w:val="009074F7"/>
    <w:rsid w:val="00920B5D"/>
    <w:rsid w:val="009211DC"/>
    <w:rsid w:val="00926F8B"/>
    <w:rsid w:val="009271EE"/>
    <w:rsid w:val="00927BB5"/>
    <w:rsid w:val="00934967"/>
    <w:rsid w:val="00942AD7"/>
    <w:rsid w:val="00943E42"/>
    <w:rsid w:val="009447FF"/>
    <w:rsid w:val="0094757B"/>
    <w:rsid w:val="00950B94"/>
    <w:rsid w:val="00952205"/>
    <w:rsid w:val="009556E2"/>
    <w:rsid w:val="00955BDA"/>
    <w:rsid w:val="00956592"/>
    <w:rsid w:val="00956F93"/>
    <w:rsid w:val="0096727D"/>
    <w:rsid w:val="00986184"/>
    <w:rsid w:val="00987351"/>
    <w:rsid w:val="00990484"/>
    <w:rsid w:val="00992059"/>
    <w:rsid w:val="00996D9C"/>
    <w:rsid w:val="00997058"/>
    <w:rsid w:val="009C3AEE"/>
    <w:rsid w:val="009C61BE"/>
    <w:rsid w:val="009C63FB"/>
    <w:rsid w:val="009D004B"/>
    <w:rsid w:val="009D5F0F"/>
    <w:rsid w:val="009D65AF"/>
    <w:rsid w:val="009E0040"/>
    <w:rsid w:val="009E138A"/>
    <w:rsid w:val="009E1FC2"/>
    <w:rsid w:val="009E2D3E"/>
    <w:rsid w:val="009E4133"/>
    <w:rsid w:val="009E79F1"/>
    <w:rsid w:val="009F2471"/>
    <w:rsid w:val="009F67CF"/>
    <w:rsid w:val="009F7FF5"/>
    <w:rsid w:val="00A04F83"/>
    <w:rsid w:val="00A0647A"/>
    <w:rsid w:val="00A22200"/>
    <w:rsid w:val="00A22A32"/>
    <w:rsid w:val="00A23DB3"/>
    <w:rsid w:val="00A252D8"/>
    <w:rsid w:val="00A26AAA"/>
    <w:rsid w:val="00A271AB"/>
    <w:rsid w:val="00A35109"/>
    <w:rsid w:val="00A43504"/>
    <w:rsid w:val="00A44F08"/>
    <w:rsid w:val="00A52450"/>
    <w:rsid w:val="00A57B2B"/>
    <w:rsid w:val="00A71452"/>
    <w:rsid w:val="00A7754C"/>
    <w:rsid w:val="00A8134F"/>
    <w:rsid w:val="00A81B6E"/>
    <w:rsid w:val="00A8269B"/>
    <w:rsid w:val="00A86B54"/>
    <w:rsid w:val="00A92933"/>
    <w:rsid w:val="00AA075B"/>
    <w:rsid w:val="00AA2A63"/>
    <w:rsid w:val="00AA364F"/>
    <w:rsid w:val="00AA6FAB"/>
    <w:rsid w:val="00AB41B3"/>
    <w:rsid w:val="00AB50DA"/>
    <w:rsid w:val="00AC0AE2"/>
    <w:rsid w:val="00AC18F8"/>
    <w:rsid w:val="00AC3E4F"/>
    <w:rsid w:val="00AD2730"/>
    <w:rsid w:val="00AD3F03"/>
    <w:rsid w:val="00AD4638"/>
    <w:rsid w:val="00AD55FA"/>
    <w:rsid w:val="00AD6FB6"/>
    <w:rsid w:val="00AD77EF"/>
    <w:rsid w:val="00AE361B"/>
    <w:rsid w:val="00AE5FA9"/>
    <w:rsid w:val="00AF1112"/>
    <w:rsid w:val="00AF11E6"/>
    <w:rsid w:val="00AF3874"/>
    <w:rsid w:val="00AF48C4"/>
    <w:rsid w:val="00AF5641"/>
    <w:rsid w:val="00AF6198"/>
    <w:rsid w:val="00AF7275"/>
    <w:rsid w:val="00B00E59"/>
    <w:rsid w:val="00B016A0"/>
    <w:rsid w:val="00B02C66"/>
    <w:rsid w:val="00B0484C"/>
    <w:rsid w:val="00B050F7"/>
    <w:rsid w:val="00B05F81"/>
    <w:rsid w:val="00B0780A"/>
    <w:rsid w:val="00B07DEF"/>
    <w:rsid w:val="00B114E2"/>
    <w:rsid w:val="00B13CC5"/>
    <w:rsid w:val="00B17938"/>
    <w:rsid w:val="00B259FB"/>
    <w:rsid w:val="00B27A6B"/>
    <w:rsid w:val="00B343AA"/>
    <w:rsid w:val="00B42402"/>
    <w:rsid w:val="00B44437"/>
    <w:rsid w:val="00B46500"/>
    <w:rsid w:val="00B46922"/>
    <w:rsid w:val="00B479AC"/>
    <w:rsid w:val="00B50283"/>
    <w:rsid w:val="00B5548A"/>
    <w:rsid w:val="00B5558F"/>
    <w:rsid w:val="00B618A5"/>
    <w:rsid w:val="00B62867"/>
    <w:rsid w:val="00B6471A"/>
    <w:rsid w:val="00B73515"/>
    <w:rsid w:val="00B74C28"/>
    <w:rsid w:val="00B76031"/>
    <w:rsid w:val="00B76A0F"/>
    <w:rsid w:val="00B836A0"/>
    <w:rsid w:val="00B870BD"/>
    <w:rsid w:val="00B90020"/>
    <w:rsid w:val="00B94182"/>
    <w:rsid w:val="00B9419A"/>
    <w:rsid w:val="00B95E69"/>
    <w:rsid w:val="00B9642F"/>
    <w:rsid w:val="00B96CEB"/>
    <w:rsid w:val="00B97870"/>
    <w:rsid w:val="00BA2055"/>
    <w:rsid w:val="00BA3A2A"/>
    <w:rsid w:val="00BA3C50"/>
    <w:rsid w:val="00BA46D5"/>
    <w:rsid w:val="00BB03C8"/>
    <w:rsid w:val="00BB0728"/>
    <w:rsid w:val="00BB1B0C"/>
    <w:rsid w:val="00BB58B2"/>
    <w:rsid w:val="00BB615B"/>
    <w:rsid w:val="00BB672B"/>
    <w:rsid w:val="00BB760E"/>
    <w:rsid w:val="00BC11A5"/>
    <w:rsid w:val="00BC36E3"/>
    <w:rsid w:val="00BC51B2"/>
    <w:rsid w:val="00BC5A3A"/>
    <w:rsid w:val="00BC62C9"/>
    <w:rsid w:val="00BD0959"/>
    <w:rsid w:val="00BD2324"/>
    <w:rsid w:val="00BD3A12"/>
    <w:rsid w:val="00BD3A40"/>
    <w:rsid w:val="00BD4D8F"/>
    <w:rsid w:val="00BE2E68"/>
    <w:rsid w:val="00BE5EB6"/>
    <w:rsid w:val="00BE6A3E"/>
    <w:rsid w:val="00BE6EE8"/>
    <w:rsid w:val="00BE6FB1"/>
    <w:rsid w:val="00BE7176"/>
    <w:rsid w:val="00BE7EAA"/>
    <w:rsid w:val="00BF40EF"/>
    <w:rsid w:val="00BF55FA"/>
    <w:rsid w:val="00C00474"/>
    <w:rsid w:val="00C02721"/>
    <w:rsid w:val="00C1070D"/>
    <w:rsid w:val="00C10C55"/>
    <w:rsid w:val="00C214C2"/>
    <w:rsid w:val="00C245DD"/>
    <w:rsid w:val="00C26374"/>
    <w:rsid w:val="00C37671"/>
    <w:rsid w:val="00C40E89"/>
    <w:rsid w:val="00C44163"/>
    <w:rsid w:val="00C44E85"/>
    <w:rsid w:val="00C473A9"/>
    <w:rsid w:val="00C536D8"/>
    <w:rsid w:val="00C54092"/>
    <w:rsid w:val="00C54DEC"/>
    <w:rsid w:val="00C66E55"/>
    <w:rsid w:val="00C70227"/>
    <w:rsid w:val="00C73C68"/>
    <w:rsid w:val="00C80807"/>
    <w:rsid w:val="00C82225"/>
    <w:rsid w:val="00C85174"/>
    <w:rsid w:val="00C91A9B"/>
    <w:rsid w:val="00C93028"/>
    <w:rsid w:val="00CA2B06"/>
    <w:rsid w:val="00CA6525"/>
    <w:rsid w:val="00CB1D40"/>
    <w:rsid w:val="00CB38F4"/>
    <w:rsid w:val="00CB4908"/>
    <w:rsid w:val="00CC57D7"/>
    <w:rsid w:val="00CC6739"/>
    <w:rsid w:val="00CC715A"/>
    <w:rsid w:val="00CC7C6C"/>
    <w:rsid w:val="00CD11B4"/>
    <w:rsid w:val="00CD4D25"/>
    <w:rsid w:val="00CD613C"/>
    <w:rsid w:val="00CD6F44"/>
    <w:rsid w:val="00CD7700"/>
    <w:rsid w:val="00CD7D72"/>
    <w:rsid w:val="00CE11C2"/>
    <w:rsid w:val="00CE5626"/>
    <w:rsid w:val="00CE588A"/>
    <w:rsid w:val="00CF18D2"/>
    <w:rsid w:val="00CF216C"/>
    <w:rsid w:val="00CF3B80"/>
    <w:rsid w:val="00CF6241"/>
    <w:rsid w:val="00CF651A"/>
    <w:rsid w:val="00D01966"/>
    <w:rsid w:val="00D063B7"/>
    <w:rsid w:val="00D1013C"/>
    <w:rsid w:val="00D15309"/>
    <w:rsid w:val="00D206B8"/>
    <w:rsid w:val="00D2744A"/>
    <w:rsid w:val="00D31464"/>
    <w:rsid w:val="00D3214C"/>
    <w:rsid w:val="00D32E44"/>
    <w:rsid w:val="00D3694A"/>
    <w:rsid w:val="00D46036"/>
    <w:rsid w:val="00D50797"/>
    <w:rsid w:val="00D61109"/>
    <w:rsid w:val="00D61358"/>
    <w:rsid w:val="00D62DC3"/>
    <w:rsid w:val="00D63B2C"/>
    <w:rsid w:val="00D71DEE"/>
    <w:rsid w:val="00D73392"/>
    <w:rsid w:val="00D73CEA"/>
    <w:rsid w:val="00D74D67"/>
    <w:rsid w:val="00D907F5"/>
    <w:rsid w:val="00D92552"/>
    <w:rsid w:val="00D94E1E"/>
    <w:rsid w:val="00DA2489"/>
    <w:rsid w:val="00DA26CE"/>
    <w:rsid w:val="00DB1B9D"/>
    <w:rsid w:val="00DC08A9"/>
    <w:rsid w:val="00DC3927"/>
    <w:rsid w:val="00DC4EBD"/>
    <w:rsid w:val="00DC6D0B"/>
    <w:rsid w:val="00DD28F0"/>
    <w:rsid w:val="00DD7D76"/>
    <w:rsid w:val="00DE246F"/>
    <w:rsid w:val="00DE7E0D"/>
    <w:rsid w:val="00DF0FFD"/>
    <w:rsid w:val="00DF1424"/>
    <w:rsid w:val="00E009CF"/>
    <w:rsid w:val="00E06584"/>
    <w:rsid w:val="00E067DA"/>
    <w:rsid w:val="00E13199"/>
    <w:rsid w:val="00E1324B"/>
    <w:rsid w:val="00E15668"/>
    <w:rsid w:val="00E161CD"/>
    <w:rsid w:val="00E16205"/>
    <w:rsid w:val="00E22F89"/>
    <w:rsid w:val="00E230F9"/>
    <w:rsid w:val="00E24512"/>
    <w:rsid w:val="00E2451B"/>
    <w:rsid w:val="00E2599D"/>
    <w:rsid w:val="00E26E09"/>
    <w:rsid w:val="00E32A0D"/>
    <w:rsid w:val="00E3651E"/>
    <w:rsid w:val="00E41713"/>
    <w:rsid w:val="00E433D9"/>
    <w:rsid w:val="00E44CBC"/>
    <w:rsid w:val="00E47ED0"/>
    <w:rsid w:val="00E52FE0"/>
    <w:rsid w:val="00E54CAE"/>
    <w:rsid w:val="00E64962"/>
    <w:rsid w:val="00E67544"/>
    <w:rsid w:val="00E71BAB"/>
    <w:rsid w:val="00E759D3"/>
    <w:rsid w:val="00E771B3"/>
    <w:rsid w:val="00E811A9"/>
    <w:rsid w:val="00E813E5"/>
    <w:rsid w:val="00E814C5"/>
    <w:rsid w:val="00E87508"/>
    <w:rsid w:val="00E90A7E"/>
    <w:rsid w:val="00E91C7B"/>
    <w:rsid w:val="00E9344D"/>
    <w:rsid w:val="00E971F9"/>
    <w:rsid w:val="00E97483"/>
    <w:rsid w:val="00E97940"/>
    <w:rsid w:val="00EA1F1D"/>
    <w:rsid w:val="00EA20E3"/>
    <w:rsid w:val="00EA3866"/>
    <w:rsid w:val="00EB33E1"/>
    <w:rsid w:val="00EB3F6C"/>
    <w:rsid w:val="00EC31C6"/>
    <w:rsid w:val="00ED0C82"/>
    <w:rsid w:val="00ED370E"/>
    <w:rsid w:val="00ED7D22"/>
    <w:rsid w:val="00EE160E"/>
    <w:rsid w:val="00EE32DA"/>
    <w:rsid w:val="00EE3FFA"/>
    <w:rsid w:val="00EF61C9"/>
    <w:rsid w:val="00EF6688"/>
    <w:rsid w:val="00EF741B"/>
    <w:rsid w:val="00EF7F1E"/>
    <w:rsid w:val="00F02AF4"/>
    <w:rsid w:val="00F04DC0"/>
    <w:rsid w:val="00F052C4"/>
    <w:rsid w:val="00F202E1"/>
    <w:rsid w:val="00F202EB"/>
    <w:rsid w:val="00F20801"/>
    <w:rsid w:val="00F24E75"/>
    <w:rsid w:val="00F24EA6"/>
    <w:rsid w:val="00F345CA"/>
    <w:rsid w:val="00F346E0"/>
    <w:rsid w:val="00F34932"/>
    <w:rsid w:val="00F36490"/>
    <w:rsid w:val="00F50648"/>
    <w:rsid w:val="00F544B2"/>
    <w:rsid w:val="00F56F49"/>
    <w:rsid w:val="00F6362E"/>
    <w:rsid w:val="00F66FF0"/>
    <w:rsid w:val="00F673C6"/>
    <w:rsid w:val="00F73C30"/>
    <w:rsid w:val="00F7502B"/>
    <w:rsid w:val="00F75424"/>
    <w:rsid w:val="00F8223A"/>
    <w:rsid w:val="00F839A5"/>
    <w:rsid w:val="00F852F5"/>
    <w:rsid w:val="00FA1A86"/>
    <w:rsid w:val="00FA1FDD"/>
    <w:rsid w:val="00FA6C77"/>
    <w:rsid w:val="00FA7BFB"/>
    <w:rsid w:val="00FB2C00"/>
    <w:rsid w:val="00FB4118"/>
    <w:rsid w:val="00FB6290"/>
    <w:rsid w:val="00FC3203"/>
    <w:rsid w:val="00FC3EE8"/>
    <w:rsid w:val="00FD2402"/>
    <w:rsid w:val="00FD3705"/>
    <w:rsid w:val="00FD740E"/>
    <w:rsid w:val="00FE4DFE"/>
    <w:rsid w:val="00FE5334"/>
    <w:rsid w:val="00FF34FB"/>
    <w:rsid w:val="00FF493D"/>
    <w:rsid w:val="00FF5422"/>
    <w:rsid w:val="00FF7A11"/>
    <w:rsid w:val="00FF7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A92933"/>
    <w:pPr>
      <w:spacing w:after="120"/>
      <w:ind w:firstLine="357"/>
      <w:jc w:val="both"/>
    </w:pPr>
    <w:rPr>
      <w:lang w:eastAsia="en-US"/>
    </w:rPr>
  </w:style>
  <w:style w:type="paragraph" w:styleId="Nadpis1">
    <w:name w:val="heading 1"/>
    <w:basedOn w:val="Normln"/>
    <w:next w:val="Normln"/>
    <w:link w:val="Nadpis1Char"/>
    <w:uiPriority w:val="9"/>
    <w:qFormat/>
    <w:rsid w:val="00F839A5"/>
    <w:pPr>
      <w:numPr>
        <w:numId w:val="2"/>
      </w:numPr>
      <w:pBdr>
        <w:bottom w:val="single" w:sz="12" w:space="1" w:color="365F91"/>
      </w:pBdr>
      <w:spacing w:before="360" w:after="80"/>
      <w:outlineLvl w:val="0"/>
    </w:pPr>
    <w:rPr>
      <w:rFonts w:ascii="Cambria" w:hAnsi="Cambria"/>
      <w:b/>
      <w:bCs/>
      <w:color w:val="E36C0A"/>
      <w:sz w:val="24"/>
      <w:szCs w:val="24"/>
    </w:rPr>
  </w:style>
  <w:style w:type="paragraph" w:styleId="Nadpis2">
    <w:name w:val="heading 2"/>
    <w:basedOn w:val="Normln"/>
    <w:next w:val="Normln"/>
    <w:link w:val="Nadpis2Char"/>
    <w:uiPriority w:val="9"/>
    <w:qFormat/>
    <w:rsid w:val="004F5881"/>
    <w:pPr>
      <w:numPr>
        <w:ilvl w:val="1"/>
        <w:numId w:val="2"/>
      </w:numPr>
      <w:pBdr>
        <w:bottom w:val="single" w:sz="8" w:space="1" w:color="4F81BD"/>
      </w:pBdr>
      <w:spacing w:before="200" w:after="80"/>
      <w:outlineLvl w:val="1"/>
    </w:pPr>
    <w:rPr>
      <w:rFonts w:ascii="Cambria" w:hAnsi="Cambria"/>
      <w:color w:val="E36C0A"/>
      <w:sz w:val="24"/>
      <w:szCs w:val="24"/>
    </w:rPr>
  </w:style>
  <w:style w:type="paragraph" w:styleId="Nadpis3">
    <w:name w:val="heading 3"/>
    <w:basedOn w:val="Normln"/>
    <w:next w:val="Normln"/>
    <w:link w:val="Nadpis3Char"/>
    <w:uiPriority w:val="9"/>
    <w:qFormat/>
    <w:rsid w:val="00F839A5"/>
    <w:pPr>
      <w:numPr>
        <w:ilvl w:val="2"/>
        <w:numId w:val="2"/>
      </w:numPr>
      <w:pBdr>
        <w:bottom w:val="single" w:sz="4" w:space="1" w:color="95B3D7"/>
      </w:pBdr>
      <w:spacing w:before="200" w:after="80"/>
      <w:outlineLvl w:val="2"/>
    </w:pPr>
    <w:rPr>
      <w:rFonts w:ascii="Cambria" w:hAnsi="Cambria"/>
      <w:color w:val="4F81BD"/>
      <w:sz w:val="24"/>
      <w:szCs w:val="24"/>
    </w:rPr>
  </w:style>
  <w:style w:type="paragraph" w:styleId="Nadpis4">
    <w:name w:val="heading 4"/>
    <w:basedOn w:val="Normln"/>
    <w:next w:val="Normln"/>
    <w:link w:val="Nadpis4Char"/>
    <w:uiPriority w:val="9"/>
    <w:qFormat/>
    <w:rsid w:val="00F839A5"/>
    <w:pPr>
      <w:numPr>
        <w:ilvl w:val="3"/>
        <w:numId w:val="2"/>
      </w:numPr>
      <w:pBdr>
        <w:bottom w:val="single" w:sz="4" w:space="2" w:color="B8CCE4"/>
      </w:pBdr>
      <w:spacing w:before="200" w:after="80"/>
      <w:outlineLvl w:val="3"/>
    </w:pPr>
    <w:rPr>
      <w:rFonts w:ascii="Cambria" w:hAnsi="Cambria"/>
      <w:i/>
      <w:iCs/>
      <w:color w:val="4F81BD"/>
      <w:sz w:val="24"/>
      <w:szCs w:val="24"/>
    </w:rPr>
  </w:style>
  <w:style w:type="paragraph" w:styleId="Nadpis5">
    <w:name w:val="heading 5"/>
    <w:basedOn w:val="Normln"/>
    <w:next w:val="Normln"/>
    <w:link w:val="Nadpis5Char"/>
    <w:uiPriority w:val="9"/>
    <w:qFormat/>
    <w:rsid w:val="00F839A5"/>
    <w:pPr>
      <w:numPr>
        <w:ilvl w:val="4"/>
        <w:numId w:val="2"/>
      </w:numPr>
      <w:spacing w:before="200" w:after="80"/>
      <w:outlineLvl w:val="4"/>
    </w:pPr>
    <w:rPr>
      <w:rFonts w:ascii="Cambria" w:hAnsi="Cambria"/>
      <w:color w:val="4F81BD"/>
    </w:rPr>
  </w:style>
  <w:style w:type="paragraph" w:styleId="Nadpis6">
    <w:name w:val="heading 6"/>
    <w:basedOn w:val="Normln"/>
    <w:next w:val="Normln"/>
    <w:link w:val="Nadpis6Char"/>
    <w:uiPriority w:val="9"/>
    <w:qFormat/>
    <w:rsid w:val="00F839A5"/>
    <w:pPr>
      <w:numPr>
        <w:ilvl w:val="5"/>
        <w:numId w:val="2"/>
      </w:numPr>
      <w:spacing w:before="280" w:after="100"/>
      <w:outlineLvl w:val="5"/>
    </w:pPr>
    <w:rPr>
      <w:rFonts w:ascii="Cambria" w:hAnsi="Cambria"/>
      <w:i/>
      <w:iCs/>
      <w:color w:val="4F81BD"/>
    </w:rPr>
  </w:style>
  <w:style w:type="paragraph" w:styleId="Nadpis7">
    <w:name w:val="heading 7"/>
    <w:basedOn w:val="Normln"/>
    <w:next w:val="Normln"/>
    <w:link w:val="Nadpis7Char"/>
    <w:uiPriority w:val="9"/>
    <w:qFormat/>
    <w:rsid w:val="00F839A5"/>
    <w:pPr>
      <w:numPr>
        <w:ilvl w:val="6"/>
        <w:numId w:val="2"/>
      </w:numPr>
      <w:spacing w:before="320" w:after="100"/>
      <w:outlineLvl w:val="6"/>
    </w:pPr>
    <w:rPr>
      <w:rFonts w:ascii="Cambria" w:hAnsi="Cambria"/>
      <w:b/>
      <w:bCs/>
      <w:color w:val="9BBB59"/>
      <w:sz w:val="20"/>
      <w:szCs w:val="20"/>
    </w:rPr>
  </w:style>
  <w:style w:type="paragraph" w:styleId="Nadpis8">
    <w:name w:val="heading 8"/>
    <w:basedOn w:val="Normln"/>
    <w:next w:val="Normln"/>
    <w:link w:val="Nadpis8Char"/>
    <w:uiPriority w:val="9"/>
    <w:qFormat/>
    <w:rsid w:val="00F839A5"/>
    <w:pPr>
      <w:numPr>
        <w:ilvl w:val="7"/>
        <w:numId w:val="2"/>
      </w:numPr>
      <w:spacing w:before="320" w:after="100"/>
      <w:outlineLvl w:val="7"/>
    </w:pPr>
    <w:rPr>
      <w:rFonts w:ascii="Cambria" w:hAnsi="Cambria"/>
      <w:b/>
      <w:bCs/>
      <w:i/>
      <w:iCs/>
      <w:color w:val="9BBB59"/>
      <w:sz w:val="20"/>
      <w:szCs w:val="20"/>
    </w:rPr>
  </w:style>
  <w:style w:type="paragraph" w:styleId="Nadpis9">
    <w:name w:val="heading 9"/>
    <w:basedOn w:val="Normln"/>
    <w:next w:val="Normln"/>
    <w:link w:val="Nadpis9Char"/>
    <w:uiPriority w:val="9"/>
    <w:qFormat/>
    <w:rsid w:val="00F839A5"/>
    <w:pPr>
      <w:numPr>
        <w:ilvl w:val="8"/>
        <w:numId w:val="2"/>
      </w:numPr>
      <w:spacing w:before="320" w:after="100"/>
      <w:outlineLvl w:val="8"/>
    </w:pPr>
    <w:rPr>
      <w:rFonts w:ascii="Cambria" w:hAnsi="Cambria"/>
      <w:i/>
      <w:iCs/>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F839A5"/>
    <w:rPr>
      <w:rFonts w:ascii="Cambria" w:hAnsi="Cambria"/>
      <w:b/>
      <w:bCs/>
      <w:color w:val="E36C0A"/>
      <w:sz w:val="24"/>
      <w:szCs w:val="24"/>
      <w:lang w:eastAsia="en-US"/>
    </w:rPr>
  </w:style>
  <w:style w:type="character" w:customStyle="1" w:styleId="Nadpis2Char">
    <w:name w:val="Nadpis 2 Char"/>
    <w:basedOn w:val="Standardnpsmoodstavce"/>
    <w:link w:val="Nadpis2"/>
    <w:uiPriority w:val="9"/>
    <w:locked/>
    <w:rsid w:val="004F5881"/>
    <w:rPr>
      <w:rFonts w:ascii="Cambria" w:hAnsi="Cambria"/>
      <w:color w:val="E36C0A"/>
      <w:sz w:val="24"/>
      <w:szCs w:val="24"/>
      <w:lang w:eastAsia="en-US"/>
    </w:rPr>
  </w:style>
  <w:style w:type="character" w:customStyle="1" w:styleId="Nadpis3Char">
    <w:name w:val="Nadpis 3 Char"/>
    <w:basedOn w:val="Standardnpsmoodstavce"/>
    <w:link w:val="Nadpis3"/>
    <w:uiPriority w:val="9"/>
    <w:locked/>
    <w:rsid w:val="00F839A5"/>
    <w:rPr>
      <w:rFonts w:ascii="Cambria" w:hAnsi="Cambria"/>
      <w:color w:val="4F81BD"/>
      <w:sz w:val="24"/>
      <w:szCs w:val="24"/>
      <w:lang w:eastAsia="en-US"/>
    </w:rPr>
  </w:style>
  <w:style w:type="character" w:customStyle="1" w:styleId="Nadpis4Char">
    <w:name w:val="Nadpis 4 Char"/>
    <w:basedOn w:val="Standardnpsmoodstavce"/>
    <w:link w:val="Nadpis4"/>
    <w:uiPriority w:val="9"/>
    <w:locked/>
    <w:rsid w:val="00F839A5"/>
    <w:rPr>
      <w:rFonts w:ascii="Cambria" w:hAnsi="Cambria"/>
      <w:i/>
      <w:iCs/>
      <w:color w:val="4F81BD"/>
      <w:sz w:val="24"/>
      <w:szCs w:val="24"/>
      <w:lang w:eastAsia="en-US"/>
    </w:rPr>
  </w:style>
  <w:style w:type="character" w:customStyle="1" w:styleId="Nadpis5Char">
    <w:name w:val="Nadpis 5 Char"/>
    <w:basedOn w:val="Standardnpsmoodstavce"/>
    <w:link w:val="Nadpis5"/>
    <w:uiPriority w:val="99"/>
    <w:semiHidden/>
    <w:locked/>
    <w:rsid w:val="00F839A5"/>
    <w:rPr>
      <w:rFonts w:ascii="Cambria" w:hAnsi="Cambria" w:cs="Times New Roman"/>
      <w:color w:val="4F81BD"/>
    </w:rPr>
  </w:style>
  <w:style w:type="character" w:customStyle="1" w:styleId="Nadpis6Char">
    <w:name w:val="Nadpis 6 Char"/>
    <w:basedOn w:val="Standardnpsmoodstavce"/>
    <w:link w:val="Nadpis6"/>
    <w:uiPriority w:val="99"/>
    <w:semiHidden/>
    <w:locked/>
    <w:rsid w:val="00F839A5"/>
    <w:rPr>
      <w:rFonts w:ascii="Cambria" w:hAnsi="Cambria" w:cs="Times New Roman"/>
      <w:i/>
      <w:iCs/>
      <w:color w:val="4F81BD"/>
    </w:rPr>
  </w:style>
  <w:style w:type="character" w:customStyle="1" w:styleId="Nadpis7Char">
    <w:name w:val="Nadpis 7 Char"/>
    <w:basedOn w:val="Standardnpsmoodstavce"/>
    <w:link w:val="Nadpis7"/>
    <w:uiPriority w:val="99"/>
    <w:semiHidden/>
    <w:locked/>
    <w:rsid w:val="00F839A5"/>
    <w:rPr>
      <w:rFonts w:ascii="Cambria" w:hAnsi="Cambria" w:cs="Times New Roman"/>
      <w:b/>
      <w:bCs/>
      <w:color w:val="9BBB59"/>
      <w:sz w:val="20"/>
      <w:szCs w:val="20"/>
    </w:rPr>
  </w:style>
  <w:style w:type="character" w:customStyle="1" w:styleId="Nadpis8Char">
    <w:name w:val="Nadpis 8 Char"/>
    <w:basedOn w:val="Standardnpsmoodstavce"/>
    <w:link w:val="Nadpis8"/>
    <w:uiPriority w:val="99"/>
    <w:semiHidden/>
    <w:locked/>
    <w:rsid w:val="00F839A5"/>
    <w:rPr>
      <w:rFonts w:ascii="Cambria" w:hAnsi="Cambria" w:cs="Times New Roman"/>
      <w:b/>
      <w:bCs/>
      <w:i/>
      <w:iCs/>
      <w:color w:val="9BBB59"/>
      <w:sz w:val="20"/>
      <w:szCs w:val="20"/>
    </w:rPr>
  </w:style>
  <w:style w:type="character" w:customStyle="1" w:styleId="Nadpis9Char">
    <w:name w:val="Nadpis 9 Char"/>
    <w:basedOn w:val="Standardnpsmoodstavce"/>
    <w:link w:val="Nadpis9"/>
    <w:uiPriority w:val="99"/>
    <w:semiHidden/>
    <w:locked/>
    <w:rsid w:val="00F839A5"/>
    <w:rPr>
      <w:rFonts w:ascii="Cambria" w:hAnsi="Cambria" w:cs="Times New Roman"/>
      <w:i/>
      <w:iCs/>
      <w:color w:val="9BBB59"/>
      <w:sz w:val="20"/>
      <w:szCs w:val="20"/>
    </w:rPr>
  </w:style>
  <w:style w:type="paragraph" w:styleId="Textbubliny">
    <w:name w:val="Balloon Text"/>
    <w:basedOn w:val="Normln"/>
    <w:link w:val="TextbublinyChar"/>
    <w:uiPriority w:val="99"/>
    <w:semiHidden/>
    <w:rsid w:val="007D198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D198F"/>
    <w:rPr>
      <w:rFonts w:ascii="Tahoma" w:hAnsi="Tahoma" w:cs="Tahoma"/>
      <w:sz w:val="16"/>
      <w:szCs w:val="16"/>
    </w:rPr>
  </w:style>
  <w:style w:type="paragraph" w:styleId="Zhlav">
    <w:name w:val="header"/>
    <w:basedOn w:val="Normln"/>
    <w:link w:val="ZhlavChar"/>
    <w:uiPriority w:val="99"/>
    <w:rsid w:val="00817D6C"/>
    <w:pPr>
      <w:tabs>
        <w:tab w:val="center" w:pos="4536"/>
        <w:tab w:val="right" w:pos="9072"/>
      </w:tabs>
      <w:spacing w:after="0"/>
    </w:pPr>
  </w:style>
  <w:style w:type="character" w:customStyle="1" w:styleId="ZhlavChar">
    <w:name w:val="Záhlaví Char"/>
    <w:basedOn w:val="Standardnpsmoodstavce"/>
    <w:link w:val="Zhlav"/>
    <w:uiPriority w:val="99"/>
    <w:locked/>
    <w:rsid w:val="00817D6C"/>
    <w:rPr>
      <w:rFonts w:cs="Times New Roman"/>
    </w:rPr>
  </w:style>
  <w:style w:type="paragraph" w:styleId="Zpat">
    <w:name w:val="footer"/>
    <w:basedOn w:val="Normln"/>
    <w:link w:val="ZpatChar"/>
    <w:uiPriority w:val="99"/>
    <w:rsid w:val="00817D6C"/>
    <w:pPr>
      <w:tabs>
        <w:tab w:val="center" w:pos="4536"/>
        <w:tab w:val="right" w:pos="9072"/>
      </w:tabs>
      <w:spacing w:after="0"/>
    </w:pPr>
  </w:style>
  <w:style w:type="character" w:customStyle="1" w:styleId="ZpatChar">
    <w:name w:val="Zápatí Char"/>
    <w:basedOn w:val="Standardnpsmoodstavce"/>
    <w:link w:val="Zpat"/>
    <w:uiPriority w:val="99"/>
    <w:locked/>
    <w:rsid w:val="00817D6C"/>
    <w:rPr>
      <w:rFonts w:cs="Times New Roman"/>
    </w:rPr>
  </w:style>
  <w:style w:type="paragraph" w:customStyle="1" w:styleId="Styl1">
    <w:name w:val="Styl1"/>
    <w:basedOn w:val="Nzev"/>
    <w:link w:val="Styl1Char"/>
    <w:qFormat/>
    <w:rsid w:val="00F839A5"/>
  </w:style>
  <w:style w:type="character" w:customStyle="1" w:styleId="Styl1Char">
    <w:name w:val="Styl1 Char"/>
    <w:basedOn w:val="NzevChar"/>
    <w:link w:val="Styl1"/>
    <w:locked/>
    <w:rsid w:val="00F839A5"/>
    <w:rPr>
      <w:rFonts w:ascii="Cambria" w:hAnsi="Cambria" w:cs="Times New Roman"/>
      <w:i/>
      <w:iCs/>
      <w:color w:val="984806"/>
      <w:sz w:val="60"/>
      <w:szCs w:val="60"/>
    </w:rPr>
  </w:style>
  <w:style w:type="paragraph" w:styleId="Nzev">
    <w:name w:val="Title"/>
    <w:basedOn w:val="Normln"/>
    <w:next w:val="Normln"/>
    <w:link w:val="NzevChar"/>
    <w:uiPriority w:val="99"/>
    <w:qFormat/>
    <w:rsid w:val="00F839A5"/>
    <w:pPr>
      <w:ind w:firstLine="0"/>
    </w:pPr>
    <w:rPr>
      <w:rFonts w:ascii="Cambria" w:hAnsi="Cambria"/>
      <w:i/>
      <w:iCs/>
      <w:color w:val="984806"/>
      <w:sz w:val="36"/>
      <w:szCs w:val="60"/>
    </w:rPr>
  </w:style>
  <w:style w:type="character" w:customStyle="1" w:styleId="NzevChar">
    <w:name w:val="Název Char"/>
    <w:basedOn w:val="Standardnpsmoodstavce"/>
    <w:link w:val="Nzev"/>
    <w:uiPriority w:val="99"/>
    <w:locked/>
    <w:rsid w:val="00F839A5"/>
    <w:rPr>
      <w:rFonts w:ascii="Cambria" w:hAnsi="Cambria" w:cs="Times New Roman"/>
      <w:i/>
      <w:iCs/>
      <w:color w:val="984806"/>
      <w:sz w:val="60"/>
      <w:szCs w:val="60"/>
    </w:rPr>
  </w:style>
  <w:style w:type="paragraph" w:styleId="Titulek">
    <w:name w:val="caption"/>
    <w:basedOn w:val="Normln"/>
    <w:next w:val="Normln"/>
    <w:uiPriority w:val="99"/>
    <w:qFormat/>
    <w:rsid w:val="00F839A5"/>
    <w:rPr>
      <w:b/>
      <w:bCs/>
      <w:sz w:val="18"/>
      <w:szCs w:val="18"/>
    </w:rPr>
  </w:style>
  <w:style w:type="paragraph" w:styleId="Podtitul">
    <w:name w:val="Subtitle"/>
    <w:basedOn w:val="Normln"/>
    <w:next w:val="Normln"/>
    <w:link w:val="PodtitulChar"/>
    <w:uiPriority w:val="99"/>
    <w:qFormat/>
    <w:rsid w:val="00F839A5"/>
    <w:pPr>
      <w:spacing w:before="200" w:after="900"/>
      <w:ind w:firstLine="0"/>
      <w:jc w:val="right"/>
    </w:pPr>
    <w:rPr>
      <w:i/>
      <w:iCs/>
      <w:sz w:val="24"/>
      <w:szCs w:val="24"/>
    </w:rPr>
  </w:style>
  <w:style w:type="character" w:customStyle="1" w:styleId="PodtitulChar">
    <w:name w:val="Podtitul Char"/>
    <w:basedOn w:val="Standardnpsmoodstavce"/>
    <w:link w:val="Podtitul"/>
    <w:uiPriority w:val="99"/>
    <w:locked/>
    <w:rsid w:val="00F839A5"/>
    <w:rPr>
      <w:rFonts w:cs="Times New Roman"/>
      <w:i/>
      <w:iCs/>
      <w:sz w:val="24"/>
      <w:szCs w:val="24"/>
    </w:rPr>
  </w:style>
  <w:style w:type="character" w:styleId="Siln">
    <w:name w:val="Strong"/>
    <w:basedOn w:val="Standardnpsmoodstavce"/>
    <w:uiPriority w:val="99"/>
    <w:qFormat/>
    <w:rsid w:val="00F839A5"/>
    <w:rPr>
      <w:rFonts w:cs="Times New Roman"/>
      <w:b/>
      <w:bCs/>
      <w:spacing w:val="0"/>
    </w:rPr>
  </w:style>
  <w:style w:type="character" w:styleId="Zvraznn">
    <w:name w:val="Emphasis"/>
    <w:basedOn w:val="Standardnpsmoodstavce"/>
    <w:uiPriority w:val="99"/>
    <w:qFormat/>
    <w:rsid w:val="00F839A5"/>
    <w:rPr>
      <w:rFonts w:cs="Times New Roman"/>
      <w:b/>
      <w:i/>
      <w:color w:val="5A5A5A"/>
    </w:rPr>
  </w:style>
  <w:style w:type="paragraph" w:styleId="Bezmezer">
    <w:name w:val="No Spacing"/>
    <w:basedOn w:val="Normln"/>
    <w:link w:val="BezmezerChar"/>
    <w:uiPriority w:val="1"/>
    <w:qFormat/>
    <w:rsid w:val="00F839A5"/>
    <w:pPr>
      <w:ind w:firstLine="0"/>
    </w:pPr>
  </w:style>
  <w:style w:type="character" w:customStyle="1" w:styleId="BezmezerChar">
    <w:name w:val="Bez mezer Char"/>
    <w:basedOn w:val="Standardnpsmoodstavce"/>
    <w:link w:val="Bezmezer"/>
    <w:uiPriority w:val="1"/>
    <w:locked/>
    <w:rsid w:val="00F839A5"/>
    <w:rPr>
      <w:rFonts w:cs="Times New Roman"/>
    </w:rPr>
  </w:style>
  <w:style w:type="paragraph" w:styleId="Odstavecseseznamem">
    <w:name w:val="List Paragraph"/>
    <w:basedOn w:val="Normln"/>
    <w:link w:val="OdstavecseseznamemChar"/>
    <w:uiPriority w:val="34"/>
    <w:qFormat/>
    <w:rsid w:val="00F839A5"/>
    <w:pPr>
      <w:ind w:left="720"/>
      <w:contextualSpacing/>
    </w:pPr>
  </w:style>
  <w:style w:type="paragraph" w:styleId="Citt">
    <w:name w:val="Quote"/>
    <w:basedOn w:val="Normln"/>
    <w:next w:val="Normln"/>
    <w:link w:val="CittChar"/>
    <w:uiPriority w:val="99"/>
    <w:qFormat/>
    <w:rsid w:val="00F839A5"/>
    <w:rPr>
      <w:rFonts w:ascii="Cambria" w:hAnsi="Cambria"/>
      <w:i/>
      <w:iCs/>
      <w:color w:val="5A5A5A"/>
    </w:rPr>
  </w:style>
  <w:style w:type="character" w:customStyle="1" w:styleId="CittChar">
    <w:name w:val="Citát Char"/>
    <w:basedOn w:val="Standardnpsmoodstavce"/>
    <w:link w:val="Citt"/>
    <w:uiPriority w:val="99"/>
    <w:locked/>
    <w:rsid w:val="00F839A5"/>
    <w:rPr>
      <w:rFonts w:ascii="Cambria" w:hAnsi="Cambria" w:cs="Times New Roman"/>
      <w:i/>
      <w:iCs/>
      <w:color w:val="5A5A5A"/>
    </w:rPr>
  </w:style>
  <w:style w:type="paragraph" w:styleId="Vrazncitt">
    <w:name w:val="Intense Quote"/>
    <w:basedOn w:val="Normln"/>
    <w:next w:val="Normln"/>
    <w:link w:val="VrazncittChar"/>
    <w:uiPriority w:val="99"/>
    <w:qFormat/>
    <w:rsid w:val="00F839A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VrazncittChar">
    <w:name w:val="Výrazný citát Char"/>
    <w:basedOn w:val="Standardnpsmoodstavce"/>
    <w:link w:val="Vrazncitt"/>
    <w:uiPriority w:val="99"/>
    <w:locked/>
    <w:rsid w:val="00F839A5"/>
    <w:rPr>
      <w:rFonts w:ascii="Cambria" w:hAnsi="Cambria" w:cs="Times New Roman"/>
      <w:i/>
      <w:iCs/>
      <w:color w:val="FFFFFF"/>
      <w:sz w:val="24"/>
      <w:szCs w:val="24"/>
      <w:shd w:val="clear" w:color="auto" w:fill="4F81BD"/>
    </w:rPr>
  </w:style>
  <w:style w:type="character" w:styleId="Zdraznnjemn">
    <w:name w:val="Subtle Emphasis"/>
    <w:basedOn w:val="Standardnpsmoodstavce"/>
    <w:uiPriority w:val="99"/>
    <w:qFormat/>
    <w:rsid w:val="00F839A5"/>
    <w:rPr>
      <w:rFonts w:cs="Times New Roman"/>
      <w:i/>
      <w:color w:val="5A5A5A"/>
    </w:rPr>
  </w:style>
  <w:style w:type="character" w:styleId="Zdraznnintenzivn">
    <w:name w:val="Intense Emphasis"/>
    <w:basedOn w:val="Standardnpsmoodstavce"/>
    <w:uiPriority w:val="99"/>
    <w:qFormat/>
    <w:rsid w:val="00F839A5"/>
    <w:rPr>
      <w:rFonts w:cs="Times New Roman"/>
      <w:b/>
      <w:i/>
      <w:color w:val="4F81BD"/>
      <w:sz w:val="22"/>
    </w:rPr>
  </w:style>
  <w:style w:type="character" w:styleId="Odkazjemn">
    <w:name w:val="Subtle Reference"/>
    <w:basedOn w:val="Standardnpsmoodstavce"/>
    <w:uiPriority w:val="99"/>
    <w:qFormat/>
    <w:rsid w:val="00F839A5"/>
    <w:rPr>
      <w:rFonts w:cs="Times New Roman"/>
      <w:color w:val="auto"/>
      <w:u w:val="single" w:color="9BBB59"/>
    </w:rPr>
  </w:style>
  <w:style w:type="character" w:styleId="Odkazintenzivn">
    <w:name w:val="Intense Reference"/>
    <w:basedOn w:val="Standardnpsmoodstavce"/>
    <w:uiPriority w:val="99"/>
    <w:qFormat/>
    <w:rsid w:val="00F839A5"/>
    <w:rPr>
      <w:rFonts w:cs="Times New Roman"/>
      <w:b/>
      <w:bCs/>
      <w:color w:val="76923C"/>
      <w:u w:val="single" w:color="9BBB59"/>
    </w:rPr>
  </w:style>
  <w:style w:type="character" w:styleId="Nzevknihy">
    <w:name w:val="Book Title"/>
    <w:basedOn w:val="Standardnpsmoodstavce"/>
    <w:uiPriority w:val="99"/>
    <w:qFormat/>
    <w:rsid w:val="00F839A5"/>
    <w:rPr>
      <w:rFonts w:ascii="Cambria" w:hAnsi="Cambria" w:cs="Times New Roman"/>
      <w:b/>
      <w:bCs/>
      <w:i/>
      <w:iCs/>
      <w:color w:val="auto"/>
    </w:rPr>
  </w:style>
  <w:style w:type="paragraph" w:styleId="Nadpisobsahu">
    <w:name w:val="TOC Heading"/>
    <w:basedOn w:val="Nadpis1"/>
    <w:next w:val="Normln"/>
    <w:uiPriority w:val="99"/>
    <w:qFormat/>
    <w:rsid w:val="00F839A5"/>
    <w:pPr>
      <w:outlineLvl w:val="9"/>
    </w:pPr>
  </w:style>
  <w:style w:type="character" w:styleId="Hypertextovodkaz">
    <w:name w:val="Hyperlink"/>
    <w:basedOn w:val="Standardnpsmoodstavce"/>
    <w:uiPriority w:val="99"/>
    <w:rsid w:val="0085355A"/>
    <w:rPr>
      <w:rFonts w:cs="Times New Roman"/>
      <w:color w:val="0000FF"/>
      <w:u w:val="single"/>
    </w:rPr>
  </w:style>
  <w:style w:type="character" w:styleId="Odkaznakoment">
    <w:name w:val="annotation reference"/>
    <w:basedOn w:val="Standardnpsmoodstavce"/>
    <w:uiPriority w:val="99"/>
    <w:rsid w:val="002F67E7"/>
    <w:rPr>
      <w:rFonts w:cs="Times New Roman"/>
      <w:sz w:val="16"/>
      <w:szCs w:val="16"/>
    </w:rPr>
  </w:style>
  <w:style w:type="paragraph" w:styleId="Textkomente">
    <w:name w:val="annotation text"/>
    <w:basedOn w:val="Normln"/>
    <w:link w:val="TextkomenteChar"/>
    <w:uiPriority w:val="99"/>
    <w:rsid w:val="002F67E7"/>
    <w:rPr>
      <w:sz w:val="20"/>
      <w:szCs w:val="20"/>
    </w:rPr>
  </w:style>
  <w:style w:type="character" w:customStyle="1" w:styleId="TextkomenteChar">
    <w:name w:val="Text komentáře Char"/>
    <w:basedOn w:val="Standardnpsmoodstavce"/>
    <w:link w:val="Textkomente"/>
    <w:uiPriority w:val="99"/>
    <w:locked/>
    <w:rsid w:val="002F67E7"/>
    <w:rPr>
      <w:rFonts w:cs="Times New Roman"/>
      <w:sz w:val="20"/>
      <w:szCs w:val="20"/>
    </w:rPr>
  </w:style>
  <w:style w:type="paragraph" w:styleId="Pedmtkomente">
    <w:name w:val="annotation subject"/>
    <w:basedOn w:val="Textkomente"/>
    <w:next w:val="Textkomente"/>
    <w:link w:val="PedmtkomenteChar"/>
    <w:uiPriority w:val="99"/>
    <w:semiHidden/>
    <w:rsid w:val="002F67E7"/>
    <w:rPr>
      <w:b/>
      <w:bCs/>
    </w:rPr>
  </w:style>
  <w:style w:type="character" w:customStyle="1" w:styleId="PedmtkomenteChar">
    <w:name w:val="Předmět komentáře Char"/>
    <w:basedOn w:val="TextkomenteChar"/>
    <w:link w:val="Pedmtkomente"/>
    <w:uiPriority w:val="99"/>
    <w:semiHidden/>
    <w:locked/>
    <w:rsid w:val="002F67E7"/>
    <w:rPr>
      <w:rFonts w:cs="Times New Roman"/>
      <w:b/>
      <w:bCs/>
      <w:sz w:val="20"/>
      <w:szCs w:val="20"/>
    </w:rPr>
  </w:style>
  <w:style w:type="paragraph" w:styleId="Textpoznpodarou">
    <w:name w:val="footnote text"/>
    <w:aliases w:val="Footnote Text Char1,Footnote Text Char Char,Footnote Text Char2 Char Char,Footnote Text Char1 Char Char Char,Footnote Text Char Char Char Char Char,Footnote Text Char2 Char Char Char Char Char,Footnote Text Char"/>
    <w:basedOn w:val="Normln"/>
    <w:link w:val="TextpoznpodarouChar"/>
    <w:rsid w:val="00020115"/>
    <w:pPr>
      <w:ind w:firstLine="0"/>
    </w:pPr>
    <w:rPr>
      <w:rFonts w:ascii="Times New Roman" w:hAnsi="Times New Roman"/>
      <w:sz w:val="20"/>
      <w:szCs w:val="20"/>
    </w:rPr>
  </w:style>
  <w:style w:type="character" w:customStyle="1" w:styleId="TextpoznpodarouChar">
    <w:name w:val="Text pozn. pod čarou Char"/>
    <w:aliases w:val="Footnote Text Char1 Char,Footnote Text Char Char Char,Footnote Text Char2 Char Char Char,Footnote Text Char1 Char Char Char Char,Footnote Text Char Char Char Char Char Char,Footnote Text Char2 Char Char Char Char Char Char"/>
    <w:basedOn w:val="Standardnpsmoodstavce"/>
    <w:link w:val="Textpoznpodarou"/>
    <w:locked/>
    <w:rsid w:val="00020115"/>
    <w:rPr>
      <w:rFonts w:ascii="Times New Roman" w:hAnsi="Times New Roman" w:cs="Times New Roman"/>
      <w:sz w:val="20"/>
      <w:szCs w:val="20"/>
    </w:rPr>
  </w:style>
  <w:style w:type="character" w:styleId="Znakapoznpodarou">
    <w:name w:val="footnote reference"/>
    <w:basedOn w:val="Standardnpsmoodstavce"/>
    <w:rsid w:val="00020115"/>
    <w:rPr>
      <w:rFonts w:cs="Times New Roman"/>
      <w:vertAlign w:val="superscript"/>
    </w:rPr>
  </w:style>
  <w:style w:type="table" w:styleId="Svtlstnovnzvraznn4">
    <w:name w:val="Light Shading Accent 4"/>
    <w:basedOn w:val="Normlntabulka"/>
    <w:uiPriority w:val="99"/>
    <w:rsid w:val="00BD4D8F"/>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customStyle="1" w:styleId="Odstavecseseznamem1">
    <w:name w:val="Odstavec se seznamem1"/>
    <w:basedOn w:val="Normln"/>
    <w:uiPriority w:val="99"/>
    <w:rsid w:val="00FE4DFE"/>
    <w:pPr>
      <w:spacing w:after="200" w:line="276" w:lineRule="auto"/>
      <w:ind w:left="720" w:firstLine="0"/>
      <w:contextualSpacing/>
      <w:jc w:val="left"/>
    </w:pPr>
    <w:rPr>
      <w:lang w:val="en-GB"/>
    </w:rPr>
  </w:style>
  <w:style w:type="paragraph" w:customStyle="1" w:styleId="Normln2">
    <w:name w:val="Normální 2"/>
    <w:basedOn w:val="Normln"/>
    <w:link w:val="Normln2Char"/>
    <w:uiPriority w:val="99"/>
    <w:rsid w:val="00161619"/>
    <w:pPr>
      <w:ind w:firstLine="0"/>
    </w:pPr>
    <w:rPr>
      <w:rFonts w:ascii="Times New Roman" w:hAnsi="Times New Roman"/>
      <w:noProof/>
      <w:sz w:val="24"/>
      <w:szCs w:val="20"/>
      <w:lang w:eastAsia="cs-CZ"/>
    </w:rPr>
  </w:style>
  <w:style w:type="character" w:customStyle="1" w:styleId="Normln2Char">
    <w:name w:val="Normální 2 Char"/>
    <w:link w:val="Normln2"/>
    <w:uiPriority w:val="99"/>
    <w:locked/>
    <w:rsid w:val="00161619"/>
    <w:rPr>
      <w:rFonts w:ascii="Times New Roman" w:hAnsi="Times New Roman"/>
      <w:noProof/>
      <w:sz w:val="24"/>
      <w:szCs w:val="20"/>
    </w:rPr>
  </w:style>
  <w:style w:type="paragraph" w:customStyle="1" w:styleId="Default">
    <w:name w:val="Default"/>
    <w:rsid w:val="00654CF5"/>
    <w:pPr>
      <w:autoSpaceDE w:val="0"/>
      <w:autoSpaceDN w:val="0"/>
      <w:adjustRightInd w:val="0"/>
    </w:pPr>
    <w:rPr>
      <w:rFonts w:ascii="Arial" w:hAnsi="Arial" w:cs="Arial"/>
      <w:color w:val="000000"/>
      <w:sz w:val="24"/>
      <w:szCs w:val="24"/>
    </w:rPr>
  </w:style>
  <w:style w:type="paragraph" w:customStyle="1" w:styleId="nadpiszkona">
    <w:name w:val="nadpis zákona"/>
    <w:basedOn w:val="Normln"/>
    <w:next w:val="Normln"/>
    <w:rsid w:val="0050569C"/>
    <w:pPr>
      <w:keepNext/>
      <w:keepLines/>
      <w:spacing w:before="120" w:after="0"/>
      <w:ind w:firstLine="0"/>
      <w:jc w:val="center"/>
      <w:outlineLvl w:val="0"/>
    </w:pPr>
    <w:rPr>
      <w:rFonts w:ascii="Times New Roman" w:hAnsi="Times New Roman"/>
      <w:b/>
      <w:sz w:val="24"/>
      <w:szCs w:val="20"/>
      <w:lang w:eastAsia="cs-CZ"/>
    </w:rPr>
  </w:style>
  <w:style w:type="paragraph" w:styleId="Obsah1">
    <w:name w:val="toc 1"/>
    <w:basedOn w:val="Normln"/>
    <w:next w:val="Normln"/>
    <w:autoRedefine/>
    <w:rsid w:val="00141C8B"/>
    <w:pPr>
      <w:spacing w:after="100"/>
    </w:pPr>
  </w:style>
  <w:style w:type="paragraph" w:styleId="Obsah2">
    <w:name w:val="toc 2"/>
    <w:basedOn w:val="Normln"/>
    <w:next w:val="Normln"/>
    <w:autoRedefine/>
    <w:rsid w:val="008F6666"/>
    <w:pPr>
      <w:spacing w:after="100"/>
      <w:ind w:left="220"/>
    </w:pPr>
    <w:rPr>
      <w:rFonts w:ascii="Arial" w:hAnsi="Arial" w:cs="Arial"/>
      <w:b/>
      <w:noProof/>
      <w:sz w:val="24"/>
      <w:szCs w:val="24"/>
    </w:rPr>
  </w:style>
  <w:style w:type="table" w:styleId="Mkatabulky">
    <w:name w:val="Table Grid"/>
    <w:basedOn w:val="Normlntabulka"/>
    <w:uiPriority w:val="59"/>
    <w:rsid w:val="00381E9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81E9A"/>
    <w:pPr>
      <w:spacing w:before="120"/>
    </w:pPr>
    <w:rPr>
      <w:rFonts w:ascii="Times New Roman" w:hAnsi="Times New Roman"/>
      <w:sz w:val="24"/>
      <w:szCs w:val="24"/>
      <w:lang w:eastAsia="cs-CZ"/>
    </w:rPr>
  </w:style>
  <w:style w:type="character" w:customStyle="1" w:styleId="OdstavecseseznamemChar">
    <w:name w:val="Odstavec se seznamem Char"/>
    <w:link w:val="Odstavecseseznamem"/>
    <w:uiPriority w:val="99"/>
    <w:locked/>
    <w:rsid w:val="00E41713"/>
    <w:rPr>
      <w:lang w:eastAsia="en-US"/>
    </w:rPr>
  </w:style>
  <w:style w:type="table" w:styleId="Stednseznam1zvraznn4">
    <w:name w:val="Medium List 1 Accent 4"/>
    <w:basedOn w:val="Normlntabulka"/>
    <w:uiPriority w:val="65"/>
    <w:rsid w:val="00E417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customStyle="1" w:styleId="Textbodu">
    <w:name w:val="Text bodu"/>
    <w:basedOn w:val="Normln"/>
    <w:rsid w:val="007218F1"/>
    <w:pPr>
      <w:numPr>
        <w:ilvl w:val="2"/>
        <w:numId w:val="45"/>
      </w:numPr>
      <w:spacing w:after="0"/>
      <w:outlineLvl w:val="8"/>
    </w:pPr>
    <w:rPr>
      <w:rFonts w:ascii="Times New Roman" w:hAnsi="Times New Roman"/>
      <w:sz w:val="24"/>
      <w:szCs w:val="20"/>
      <w:lang w:eastAsia="cs-CZ"/>
    </w:rPr>
  </w:style>
  <w:style w:type="paragraph" w:customStyle="1" w:styleId="Textpsmene">
    <w:name w:val="Text písmene"/>
    <w:basedOn w:val="Normln"/>
    <w:rsid w:val="007218F1"/>
    <w:pPr>
      <w:numPr>
        <w:ilvl w:val="1"/>
        <w:numId w:val="45"/>
      </w:numPr>
      <w:spacing w:after="0"/>
      <w:outlineLvl w:val="7"/>
    </w:pPr>
    <w:rPr>
      <w:rFonts w:ascii="Times New Roman" w:hAnsi="Times New Roman"/>
      <w:sz w:val="24"/>
      <w:szCs w:val="20"/>
      <w:lang w:eastAsia="cs-CZ"/>
    </w:rPr>
  </w:style>
  <w:style w:type="paragraph" w:customStyle="1" w:styleId="Textodstavce">
    <w:name w:val="Text odstavce"/>
    <w:basedOn w:val="Normln"/>
    <w:rsid w:val="007218F1"/>
    <w:pPr>
      <w:numPr>
        <w:numId w:val="45"/>
      </w:numPr>
      <w:tabs>
        <w:tab w:val="left" w:pos="851"/>
      </w:tabs>
      <w:spacing w:before="120"/>
      <w:outlineLvl w:val="6"/>
    </w:pPr>
    <w:rPr>
      <w:rFonts w:ascii="Times New Roman" w:hAnsi="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A92933"/>
    <w:pPr>
      <w:spacing w:after="120"/>
      <w:ind w:firstLine="357"/>
      <w:jc w:val="both"/>
    </w:pPr>
    <w:rPr>
      <w:lang w:eastAsia="en-US"/>
    </w:rPr>
  </w:style>
  <w:style w:type="paragraph" w:styleId="Nadpis1">
    <w:name w:val="heading 1"/>
    <w:basedOn w:val="Normln"/>
    <w:next w:val="Normln"/>
    <w:link w:val="Nadpis1Char"/>
    <w:uiPriority w:val="9"/>
    <w:qFormat/>
    <w:rsid w:val="00F839A5"/>
    <w:pPr>
      <w:numPr>
        <w:numId w:val="2"/>
      </w:numPr>
      <w:pBdr>
        <w:bottom w:val="single" w:sz="12" w:space="1" w:color="365F91"/>
      </w:pBdr>
      <w:spacing w:before="360" w:after="80"/>
      <w:outlineLvl w:val="0"/>
    </w:pPr>
    <w:rPr>
      <w:rFonts w:ascii="Cambria" w:hAnsi="Cambria"/>
      <w:b/>
      <w:bCs/>
      <w:color w:val="E36C0A"/>
      <w:sz w:val="24"/>
      <w:szCs w:val="24"/>
    </w:rPr>
  </w:style>
  <w:style w:type="paragraph" w:styleId="Nadpis2">
    <w:name w:val="heading 2"/>
    <w:basedOn w:val="Normln"/>
    <w:next w:val="Normln"/>
    <w:link w:val="Nadpis2Char"/>
    <w:uiPriority w:val="9"/>
    <w:qFormat/>
    <w:rsid w:val="004F5881"/>
    <w:pPr>
      <w:numPr>
        <w:ilvl w:val="1"/>
        <w:numId w:val="2"/>
      </w:numPr>
      <w:pBdr>
        <w:bottom w:val="single" w:sz="8" w:space="1" w:color="4F81BD"/>
      </w:pBdr>
      <w:spacing w:before="200" w:after="80"/>
      <w:outlineLvl w:val="1"/>
    </w:pPr>
    <w:rPr>
      <w:rFonts w:ascii="Cambria" w:hAnsi="Cambria"/>
      <w:color w:val="E36C0A"/>
      <w:sz w:val="24"/>
      <w:szCs w:val="24"/>
    </w:rPr>
  </w:style>
  <w:style w:type="paragraph" w:styleId="Nadpis3">
    <w:name w:val="heading 3"/>
    <w:basedOn w:val="Normln"/>
    <w:next w:val="Normln"/>
    <w:link w:val="Nadpis3Char"/>
    <w:uiPriority w:val="9"/>
    <w:qFormat/>
    <w:rsid w:val="00F839A5"/>
    <w:pPr>
      <w:numPr>
        <w:ilvl w:val="2"/>
        <w:numId w:val="2"/>
      </w:numPr>
      <w:pBdr>
        <w:bottom w:val="single" w:sz="4" w:space="1" w:color="95B3D7"/>
      </w:pBdr>
      <w:spacing w:before="200" w:after="80"/>
      <w:outlineLvl w:val="2"/>
    </w:pPr>
    <w:rPr>
      <w:rFonts w:ascii="Cambria" w:hAnsi="Cambria"/>
      <w:color w:val="4F81BD"/>
      <w:sz w:val="24"/>
      <w:szCs w:val="24"/>
    </w:rPr>
  </w:style>
  <w:style w:type="paragraph" w:styleId="Nadpis4">
    <w:name w:val="heading 4"/>
    <w:basedOn w:val="Normln"/>
    <w:next w:val="Normln"/>
    <w:link w:val="Nadpis4Char"/>
    <w:uiPriority w:val="9"/>
    <w:qFormat/>
    <w:rsid w:val="00F839A5"/>
    <w:pPr>
      <w:numPr>
        <w:ilvl w:val="3"/>
        <w:numId w:val="2"/>
      </w:numPr>
      <w:pBdr>
        <w:bottom w:val="single" w:sz="4" w:space="2" w:color="B8CCE4"/>
      </w:pBdr>
      <w:spacing w:before="200" w:after="80"/>
      <w:outlineLvl w:val="3"/>
    </w:pPr>
    <w:rPr>
      <w:rFonts w:ascii="Cambria" w:hAnsi="Cambria"/>
      <w:i/>
      <w:iCs/>
      <w:color w:val="4F81BD"/>
      <w:sz w:val="24"/>
      <w:szCs w:val="24"/>
    </w:rPr>
  </w:style>
  <w:style w:type="paragraph" w:styleId="Nadpis5">
    <w:name w:val="heading 5"/>
    <w:basedOn w:val="Normln"/>
    <w:next w:val="Normln"/>
    <w:link w:val="Nadpis5Char"/>
    <w:uiPriority w:val="9"/>
    <w:qFormat/>
    <w:rsid w:val="00F839A5"/>
    <w:pPr>
      <w:numPr>
        <w:ilvl w:val="4"/>
        <w:numId w:val="2"/>
      </w:numPr>
      <w:spacing w:before="200" w:after="80"/>
      <w:outlineLvl w:val="4"/>
    </w:pPr>
    <w:rPr>
      <w:rFonts w:ascii="Cambria" w:hAnsi="Cambria"/>
      <w:color w:val="4F81BD"/>
    </w:rPr>
  </w:style>
  <w:style w:type="paragraph" w:styleId="Nadpis6">
    <w:name w:val="heading 6"/>
    <w:basedOn w:val="Normln"/>
    <w:next w:val="Normln"/>
    <w:link w:val="Nadpis6Char"/>
    <w:uiPriority w:val="9"/>
    <w:qFormat/>
    <w:rsid w:val="00F839A5"/>
    <w:pPr>
      <w:numPr>
        <w:ilvl w:val="5"/>
        <w:numId w:val="2"/>
      </w:numPr>
      <w:spacing w:before="280" w:after="100"/>
      <w:outlineLvl w:val="5"/>
    </w:pPr>
    <w:rPr>
      <w:rFonts w:ascii="Cambria" w:hAnsi="Cambria"/>
      <w:i/>
      <w:iCs/>
      <w:color w:val="4F81BD"/>
    </w:rPr>
  </w:style>
  <w:style w:type="paragraph" w:styleId="Nadpis7">
    <w:name w:val="heading 7"/>
    <w:basedOn w:val="Normln"/>
    <w:next w:val="Normln"/>
    <w:link w:val="Nadpis7Char"/>
    <w:uiPriority w:val="9"/>
    <w:qFormat/>
    <w:rsid w:val="00F839A5"/>
    <w:pPr>
      <w:numPr>
        <w:ilvl w:val="6"/>
        <w:numId w:val="2"/>
      </w:numPr>
      <w:spacing w:before="320" w:after="100"/>
      <w:outlineLvl w:val="6"/>
    </w:pPr>
    <w:rPr>
      <w:rFonts w:ascii="Cambria" w:hAnsi="Cambria"/>
      <w:b/>
      <w:bCs/>
      <w:color w:val="9BBB59"/>
      <w:sz w:val="20"/>
      <w:szCs w:val="20"/>
    </w:rPr>
  </w:style>
  <w:style w:type="paragraph" w:styleId="Nadpis8">
    <w:name w:val="heading 8"/>
    <w:basedOn w:val="Normln"/>
    <w:next w:val="Normln"/>
    <w:link w:val="Nadpis8Char"/>
    <w:uiPriority w:val="9"/>
    <w:qFormat/>
    <w:rsid w:val="00F839A5"/>
    <w:pPr>
      <w:numPr>
        <w:ilvl w:val="7"/>
        <w:numId w:val="2"/>
      </w:numPr>
      <w:spacing w:before="320" w:after="100"/>
      <w:outlineLvl w:val="7"/>
    </w:pPr>
    <w:rPr>
      <w:rFonts w:ascii="Cambria" w:hAnsi="Cambria"/>
      <w:b/>
      <w:bCs/>
      <w:i/>
      <w:iCs/>
      <w:color w:val="9BBB59"/>
      <w:sz w:val="20"/>
      <w:szCs w:val="20"/>
    </w:rPr>
  </w:style>
  <w:style w:type="paragraph" w:styleId="Nadpis9">
    <w:name w:val="heading 9"/>
    <w:basedOn w:val="Normln"/>
    <w:next w:val="Normln"/>
    <w:link w:val="Nadpis9Char"/>
    <w:uiPriority w:val="9"/>
    <w:qFormat/>
    <w:rsid w:val="00F839A5"/>
    <w:pPr>
      <w:numPr>
        <w:ilvl w:val="8"/>
        <w:numId w:val="2"/>
      </w:numPr>
      <w:spacing w:before="320" w:after="100"/>
      <w:outlineLvl w:val="8"/>
    </w:pPr>
    <w:rPr>
      <w:rFonts w:ascii="Cambria" w:hAnsi="Cambria"/>
      <w:i/>
      <w:iCs/>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F839A5"/>
    <w:rPr>
      <w:rFonts w:ascii="Cambria" w:hAnsi="Cambria"/>
      <w:b/>
      <w:bCs/>
      <w:color w:val="E36C0A"/>
      <w:sz w:val="24"/>
      <w:szCs w:val="24"/>
      <w:lang w:eastAsia="en-US"/>
    </w:rPr>
  </w:style>
  <w:style w:type="character" w:customStyle="1" w:styleId="Nadpis2Char">
    <w:name w:val="Nadpis 2 Char"/>
    <w:basedOn w:val="Standardnpsmoodstavce"/>
    <w:link w:val="Nadpis2"/>
    <w:uiPriority w:val="9"/>
    <w:locked/>
    <w:rsid w:val="004F5881"/>
    <w:rPr>
      <w:rFonts w:ascii="Cambria" w:hAnsi="Cambria"/>
      <w:color w:val="E36C0A"/>
      <w:sz w:val="24"/>
      <w:szCs w:val="24"/>
      <w:lang w:eastAsia="en-US"/>
    </w:rPr>
  </w:style>
  <w:style w:type="character" w:customStyle="1" w:styleId="Nadpis3Char">
    <w:name w:val="Nadpis 3 Char"/>
    <w:basedOn w:val="Standardnpsmoodstavce"/>
    <w:link w:val="Nadpis3"/>
    <w:uiPriority w:val="9"/>
    <w:locked/>
    <w:rsid w:val="00F839A5"/>
    <w:rPr>
      <w:rFonts w:ascii="Cambria" w:hAnsi="Cambria"/>
      <w:color w:val="4F81BD"/>
      <w:sz w:val="24"/>
      <w:szCs w:val="24"/>
      <w:lang w:eastAsia="en-US"/>
    </w:rPr>
  </w:style>
  <w:style w:type="character" w:customStyle="1" w:styleId="Nadpis4Char">
    <w:name w:val="Nadpis 4 Char"/>
    <w:basedOn w:val="Standardnpsmoodstavce"/>
    <w:link w:val="Nadpis4"/>
    <w:uiPriority w:val="9"/>
    <w:locked/>
    <w:rsid w:val="00F839A5"/>
    <w:rPr>
      <w:rFonts w:ascii="Cambria" w:hAnsi="Cambria"/>
      <w:i/>
      <w:iCs/>
      <w:color w:val="4F81BD"/>
      <w:sz w:val="24"/>
      <w:szCs w:val="24"/>
      <w:lang w:eastAsia="en-US"/>
    </w:rPr>
  </w:style>
  <w:style w:type="character" w:customStyle="1" w:styleId="Nadpis5Char">
    <w:name w:val="Nadpis 5 Char"/>
    <w:basedOn w:val="Standardnpsmoodstavce"/>
    <w:link w:val="Nadpis5"/>
    <w:uiPriority w:val="99"/>
    <w:semiHidden/>
    <w:locked/>
    <w:rsid w:val="00F839A5"/>
    <w:rPr>
      <w:rFonts w:ascii="Cambria" w:hAnsi="Cambria" w:cs="Times New Roman"/>
      <w:color w:val="4F81BD"/>
    </w:rPr>
  </w:style>
  <w:style w:type="character" w:customStyle="1" w:styleId="Nadpis6Char">
    <w:name w:val="Nadpis 6 Char"/>
    <w:basedOn w:val="Standardnpsmoodstavce"/>
    <w:link w:val="Nadpis6"/>
    <w:uiPriority w:val="99"/>
    <w:semiHidden/>
    <w:locked/>
    <w:rsid w:val="00F839A5"/>
    <w:rPr>
      <w:rFonts w:ascii="Cambria" w:hAnsi="Cambria" w:cs="Times New Roman"/>
      <w:i/>
      <w:iCs/>
      <w:color w:val="4F81BD"/>
    </w:rPr>
  </w:style>
  <w:style w:type="character" w:customStyle="1" w:styleId="Nadpis7Char">
    <w:name w:val="Nadpis 7 Char"/>
    <w:basedOn w:val="Standardnpsmoodstavce"/>
    <w:link w:val="Nadpis7"/>
    <w:uiPriority w:val="99"/>
    <w:semiHidden/>
    <w:locked/>
    <w:rsid w:val="00F839A5"/>
    <w:rPr>
      <w:rFonts w:ascii="Cambria" w:hAnsi="Cambria" w:cs="Times New Roman"/>
      <w:b/>
      <w:bCs/>
      <w:color w:val="9BBB59"/>
      <w:sz w:val="20"/>
      <w:szCs w:val="20"/>
    </w:rPr>
  </w:style>
  <w:style w:type="character" w:customStyle="1" w:styleId="Nadpis8Char">
    <w:name w:val="Nadpis 8 Char"/>
    <w:basedOn w:val="Standardnpsmoodstavce"/>
    <w:link w:val="Nadpis8"/>
    <w:uiPriority w:val="99"/>
    <w:semiHidden/>
    <w:locked/>
    <w:rsid w:val="00F839A5"/>
    <w:rPr>
      <w:rFonts w:ascii="Cambria" w:hAnsi="Cambria" w:cs="Times New Roman"/>
      <w:b/>
      <w:bCs/>
      <w:i/>
      <w:iCs/>
      <w:color w:val="9BBB59"/>
      <w:sz w:val="20"/>
      <w:szCs w:val="20"/>
    </w:rPr>
  </w:style>
  <w:style w:type="character" w:customStyle="1" w:styleId="Nadpis9Char">
    <w:name w:val="Nadpis 9 Char"/>
    <w:basedOn w:val="Standardnpsmoodstavce"/>
    <w:link w:val="Nadpis9"/>
    <w:uiPriority w:val="99"/>
    <w:semiHidden/>
    <w:locked/>
    <w:rsid w:val="00F839A5"/>
    <w:rPr>
      <w:rFonts w:ascii="Cambria" w:hAnsi="Cambria" w:cs="Times New Roman"/>
      <w:i/>
      <w:iCs/>
      <w:color w:val="9BBB59"/>
      <w:sz w:val="20"/>
      <w:szCs w:val="20"/>
    </w:rPr>
  </w:style>
  <w:style w:type="paragraph" w:styleId="Textbubliny">
    <w:name w:val="Balloon Text"/>
    <w:basedOn w:val="Normln"/>
    <w:link w:val="TextbublinyChar"/>
    <w:uiPriority w:val="99"/>
    <w:semiHidden/>
    <w:rsid w:val="007D198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D198F"/>
    <w:rPr>
      <w:rFonts w:ascii="Tahoma" w:hAnsi="Tahoma" w:cs="Tahoma"/>
      <w:sz w:val="16"/>
      <w:szCs w:val="16"/>
    </w:rPr>
  </w:style>
  <w:style w:type="paragraph" w:styleId="Zhlav">
    <w:name w:val="header"/>
    <w:basedOn w:val="Normln"/>
    <w:link w:val="ZhlavChar"/>
    <w:uiPriority w:val="99"/>
    <w:rsid w:val="00817D6C"/>
    <w:pPr>
      <w:tabs>
        <w:tab w:val="center" w:pos="4536"/>
        <w:tab w:val="right" w:pos="9072"/>
      </w:tabs>
      <w:spacing w:after="0"/>
    </w:pPr>
  </w:style>
  <w:style w:type="character" w:customStyle="1" w:styleId="ZhlavChar">
    <w:name w:val="Záhlaví Char"/>
    <w:basedOn w:val="Standardnpsmoodstavce"/>
    <w:link w:val="Zhlav"/>
    <w:uiPriority w:val="99"/>
    <w:locked/>
    <w:rsid w:val="00817D6C"/>
    <w:rPr>
      <w:rFonts w:cs="Times New Roman"/>
    </w:rPr>
  </w:style>
  <w:style w:type="paragraph" w:styleId="Zpat">
    <w:name w:val="footer"/>
    <w:basedOn w:val="Normln"/>
    <w:link w:val="ZpatChar"/>
    <w:uiPriority w:val="99"/>
    <w:rsid w:val="00817D6C"/>
    <w:pPr>
      <w:tabs>
        <w:tab w:val="center" w:pos="4536"/>
        <w:tab w:val="right" w:pos="9072"/>
      </w:tabs>
      <w:spacing w:after="0"/>
    </w:pPr>
  </w:style>
  <w:style w:type="character" w:customStyle="1" w:styleId="ZpatChar">
    <w:name w:val="Zápatí Char"/>
    <w:basedOn w:val="Standardnpsmoodstavce"/>
    <w:link w:val="Zpat"/>
    <w:uiPriority w:val="99"/>
    <w:locked/>
    <w:rsid w:val="00817D6C"/>
    <w:rPr>
      <w:rFonts w:cs="Times New Roman"/>
    </w:rPr>
  </w:style>
  <w:style w:type="paragraph" w:customStyle="1" w:styleId="Styl1">
    <w:name w:val="Styl1"/>
    <w:basedOn w:val="Nzev"/>
    <w:link w:val="Styl1Char"/>
    <w:qFormat/>
    <w:rsid w:val="00F839A5"/>
  </w:style>
  <w:style w:type="character" w:customStyle="1" w:styleId="Styl1Char">
    <w:name w:val="Styl1 Char"/>
    <w:basedOn w:val="NzevChar"/>
    <w:link w:val="Styl1"/>
    <w:locked/>
    <w:rsid w:val="00F839A5"/>
    <w:rPr>
      <w:rFonts w:ascii="Cambria" w:hAnsi="Cambria" w:cs="Times New Roman"/>
      <w:i/>
      <w:iCs/>
      <w:color w:val="984806"/>
      <w:sz w:val="60"/>
      <w:szCs w:val="60"/>
    </w:rPr>
  </w:style>
  <w:style w:type="paragraph" w:styleId="Nzev">
    <w:name w:val="Title"/>
    <w:basedOn w:val="Normln"/>
    <w:next w:val="Normln"/>
    <w:link w:val="NzevChar"/>
    <w:uiPriority w:val="99"/>
    <w:qFormat/>
    <w:rsid w:val="00F839A5"/>
    <w:pPr>
      <w:ind w:firstLine="0"/>
    </w:pPr>
    <w:rPr>
      <w:rFonts w:ascii="Cambria" w:hAnsi="Cambria"/>
      <w:i/>
      <w:iCs/>
      <w:color w:val="984806"/>
      <w:sz w:val="36"/>
      <w:szCs w:val="60"/>
    </w:rPr>
  </w:style>
  <w:style w:type="character" w:customStyle="1" w:styleId="NzevChar">
    <w:name w:val="Název Char"/>
    <w:basedOn w:val="Standardnpsmoodstavce"/>
    <w:link w:val="Nzev"/>
    <w:uiPriority w:val="99"/>
    <w:locked/>
    <w:rsid w:val="00F839A5"/>
    <w:rPr>
      <w:rFonts w:ascii="Cambria" w:hAnsi="Cambria" w:cs="Times New Roman"/>
      <w:i/>
      <w:iCs/>
      <w:color w:val="984806"/>
      <w:sz w:val="60"/>
      <w:szCs w:val="60"/>
    </w:rPr>
  </w:style>
  <w:style w:type="paragraph" w:styleId="Titulek">
    <w:name w:val="caption"/>
    <w:basedOn w:val="Normln"/>
    <w:next w:val="Normln"/>
    <w:uiPriority w:val="99"/>
    <w:qFormat/>
    <w:rsid w:val="00F839A5"/>
    <w:rPr>
      <w:b/>
      <w:bCs/>
      <w:sz w:val="18"/>
      <w:szCs w:val="18"/>
    </w:rPr>
  </w:style>
  <w:style w:type="paragraph" w:styleId="Podtitul">
    <w:name w:val="Subtitle"/>
    <w:basedOn w:val="Normln"/>
    <w:next w:val="Normln"/>
    <w:link w:val="PodtitulChar"/>
    <w:uiPriority w:val="99"/>
    <w:qFormat/>
    <w:rsid w:val="00F839A5"/>
    <w:pPr>
      <w:spacing w:before="200" w:after="900"/>
      <w:ind w:firstLine="0"/>
      <w:jc w:val="right"/>
    </w:pPr>
    <w:rPr>
      <w:i/>
      <w:iCs/>
      <w:sz w:val="24"/>
      <w:szCs w:val="24"/>
    </w:rPr>
  </w:style>
  <w:style w:type="character" w:customStyle="1" w:styleId="PodtitulChar">
    <w:name w:val="Podtitul Char"/>
    <w:basedOn w:val="Standardnpsmoodstavce"/>
    <w:link w:val="Podtitul"/>
    <w:uiPriority w:val="99"/>
    <w:locked/>
    <w:rsid w:val="00F839A5"/>
    <w:rPr>
      <w:rFonts w:cs="Times New Roman"/>
      <w:i/>
      <w:iCs/>
      <w:sz w:val="24"/>
      <w:szCs w:val="24"/>
    </w:rPr>
  </w:style>
  <w:style w:type="character" w:styleId="Siln">
    <w:name w:val="Strong"/>
    <w:basedOn w:val="Standardnpsmoodstavce"/>
    <w:uiPriority w:val="99"/>
    <w:qFormat/>
    <w:rsid w:val="00F839A5"/>
    <w:rPr>
      <w:rFonts w:cs="Times New Roman"/>
      <w:b/>
      <w:bCs/>
      <w:spacing w:val="0"/>
    </w:rPr>
  </w:style>
  <w:style w:type="character" w:styleId="Zvraznn">
    <w:name w:val="Emphasis"/>
    <w:basedOn w:val="Standardnpsmoodstavce"/>
    <w:uiPriority w:val="99"/>
    <w:qFormat/>
    <w:rsid w:val="00F839A5"/>
    <w:rPr>
      <w:rFonts w:cs="Times New Roman"/>
      <w:b/>
      <w:i/>
      <w:color w:val="5A5A5A"/>
    </w:rPr>
  </w:style>
  <w:style w:type="paragraph" w:styleId="Bezmezer">
    <w:name w:val="No Spacing"/>
    <w:basedOn w:val="Normln"/>
    <w:link w:val="BezmezerChar"/>
    <w:uiPriority w:val="1"/>
    <w:qFormat/>
    <w:rsid w:val="00F839A5"/>
    <w:pPr>
      <w:ind w:firstLine="0"/>
    </w:pPr>
  </w:style>
  <w:style w:type="character" w:customStyle="1" w:styleId="BezmezerChar">
    <w:name w:val="Bez mezer Char"/>
    <w:basedOn w:val="Standardnpsmoodstavce"/>
    <w:link w:val="Bezmezer"/>
    <w:uiPriority w:val="1"/>
    <w:locked/>
    <w:rsid w:val="00F839A5"/>
    <w:rPr>
      <w:rFonts w:cs="Times New Roman"/>
    </w:rPr>
  </w:style>
  <w:style w:type="paragraph" w:styleId="Odstavecseseznamem">
    <w:name w:val="List Paragraph"/>
    <w:basedOn w:val="Normln"/>
    <w:link w:val="OdstavecseseznamemChar"/>
    <w:uiPriority w:val="34"/>
    <w:qFormat/>
    <w:rsid w:val="00F839A5"/>
    <w:pPr>
      <w:ind w:left="720"/>
      <w:contextualSpacing/>
    </w:pPr>
  </w:style>
  <w:style w:type="paragraph" w:styleId="Citt">
    <w:name w:val="Quote"/>
    <w:basedOn w:val="Normln"/>
    <w:next w:val="Normln"/>
    <w:link w:val="CittChar"/>
    <w:uiPriority w:val="99"/>
    <w:qFormat/>
    <w:rsid w:val="00F839A5"/>
    <w:rPr>
      <w:rFonts w:ascii="Cambria" w:hAnsi="Cambria"/>
      <w:i/>
      <w:iCs/>
      <w:color w:val="5A5A5A"/>
    </w:rPr>
  </w:style>
  <w:style w:type="character" w:customStyle="1" w:styleId="CittChar">
    <w:name w:val="Citát Char"/>
    <w:basedOn w:val="Standardnpsmoodstavce"/>
    <w:link w:val="Citt"/>
    <w:uiPriority w:val="99"/>
    <w:locked/>
    <w:rsid w:val="00F839A5"/>
    <w:rPr>
      <w:rFonts w:ascii="Cambria" w:hAnsi="Cambria" w:cs="Times New Roman"/>
      <w:i/>
      <w:iCs/>
      <w:color w:val="5A5A5A"/>
    </w:rPr>
  </w:style>
  <w:style w:type="paragraph" w:styleId="Vrazncitt">
    <w:name w:val="Intense Quote"/>
    <w:basedOn w:val="Normln"/>
    <w:next w:val="Normln"/>
    <w:link w:val="VrazncittChar"/>
    <w:uiPriority w:val="99"/>
    <w:qFormat/>
    <w:rsid w:val="00F839A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VrazncittChar">
    <w:name w:val="Výrazný citát Char"/>
    <w:basedOn w:val="Standardnpsmoodstavce"/>
    <w:link w:val="Vrazncitt"/>
    <w:uiPriority w:val="99"/>
    <w:locked/>
    <w:rsid w:val="00F839A5"/>
    <w:rPr>
      <w:rFonts w:ascii="Cambria" w:hAnsi="Cambria" w:cs="Times New Roman"/>
      <w:i/>
      <w:iCs/>
      <w:color w:val="FFFFFF"/>
      <w:sz w:val="24"/>
      <w:szCs w:val="24"/>
      <w:shd w:val="clear" w:color="auto" w:fill="4F81BD"/>
    </w:rPr>
  </w:style>
  <w:style w:type="character" w:styleId="Zdraznnjemn">
    <w:name w:val="Subtle Emphasis"/>
    <w:basedOn w:val="Standardnpsmoodstavce"/>
    <w:uiPriority w:val="99"/>
    <w:qFormat/>
    <w:rsid w:val="00F839A5"/>
    <w:rPr>
      <w:rFonts w:cs="Times New Roman"/>
      <w:i/>
      <w:color w:val="5A5A5A"/>
    </w:rPr>
  </w:style>
  <w:style w:type="character" w:styleId="Zdraznnintenzivn">
    <w:name w:val="Intense Emphasis"/>
    <w:basedOn w:val="Standardnpsmoodstavce"/>
    <w:uiPriority w:val="99"/>
    <w:qFormat/>
    <w:rsid w:val="00F839A5"/>
    <w:rPr>
      <w:rFonts w:cs="Times New Roman"/>
      <w:b/>
      <w:i/>
      <w:color w:val="4F81BD"/>
      <w:sz w:val="22"/>
    </w:rPr>
  </w:style>
  <w:style w:type="character" w:styleId="Odkazjemn">
    <w:name w:val="Subtle Reference"/>
    <w:basedOn w:val="Standardnpsmoodstavce"/>
    <w:uiPriority w:val="99"/>
    <w:qFormat/>
    <w:rsid w:val="00F839A5"/>
    <w:rPr>
      <w:rFonts w:cs="Times New Roman"/>
      <w:color w:val="auto"/>
      <w:u w:val="single" w:color="9BBB59"/>
    </w:rPr>
  </w:style>
  <w:style w:type="character" w:styleId="Odkazintenzivn">
    <w:name w:val="Intense Reference"/>
    <w:basedOn w:val="Standardnpsmoodstavce"/>
    <w:uiPriority w:val="99"/>
    <w:qFormat/>
    <w:rsid w:val="00F839A5"/>
    <w:rPr>
      <w:rFonts w:cs="Times New Roman"/>
      <w:b/>
      <w:bCs/>
      <w:color w:val="76923C"/>
      <w:u w:val="single" w:color="9BBB59"/>
    </w:rPr>
  </w:style>
  <w:style w:type="character" w:styleId="Nzevknihy">
    <w:name w:val="Book Title"/>
    <w:basedOn w:val="Standardnpsmoodstavce"/>
    <w:uiPriority w:val="99"/>
    <w:qFormat/>
    <w:rsid w:val="00F839A5"/>
    <w:rPr>
      <w:rFonts w:ascii="Cambria" w:hAnsi="Cambria" w:cs="Times New Roman"/>
      <w:b/>
      <w:bCs/>
      <w:i/>
      <w:iCs/>
      <w:color w:val="auto"/>
    </w:rPr>
  </w:style>
  <w:style w:type="paragraph" w:styleId="Nadpisobsahu">
    <w:name w:val="TOC Heading"/>
    <w:basedOn w:val="Nadpis1"/>
    <w:next w:val="Normln"/>
    <w:uiPriority w:val="99"/>
    <w:qFormat/>
    <w:rsid w:val="00F839A5"/>
    <w:pPr>
      <w:outlineLvl w:val="9"/>
    </w:pPr>
  </w:style>
  <w:style w:type="character" w:styleId="Hypertextovodkaz">
    <w:name w:val="Hyperlink"/>
    <w:basedOn w:val="Standardnpsmoodstavce"/>
    <w:uiPriority w:val="99"/>
    <w:rsid w:val="0085355A"/>
    <w:rPr>
      <w:rFonts w:cs="Times New Roman"/>
      <w:color w:val="0000FF"/>
      <w:u w:val="single"/>
    </w:rPr>
  </w:style>
  <w:style w:type="character" w:styleId="Odkaznakoment">
    <w:name w:val="annotation reference"/>
    <w:basedOn w:val="Standardnpsmoodstavce"/>
    <w:uiPriority w:val="99"/>
    <w:rsid w:val="002F67E7"/>
    <w:rPr>
      <w:rFonts w:cs="Times New Roman"/>
      <w:sz w:val="16"/>
      <w:szCs w:val="16"/>
    </w:rPr>
  </w:style>
  <w:style w:type="paragraph" w:styleId="Textkomente">
    <w:name w:val="annotation text"/>
    <w:basedOn w:val="Normln"/>
    <w:link w:val="TextkomenteChar"/>
    <w:uiPriority w:val="99"/>
    <w:rsid w:val="002F67E7"/>
    <w:rPr>
      <w:sz w:val="20"/>
      <w:szCs w:val="20"/>
    </w:rPr>
  </w:style>
  <w:style w:type="character" w:customStyle="1" w:styleId="TextkomenteChar">
    <w:name w:val="Text komentáře Char"/>
    <w:basedOn w:val="Standardnpsmoodstavce"/>
    <w:link w:val="Textkomente"/>
    <w:uiPriority w:val="99"/>
    <w:locked/>
    <w:rsid w:val="002F67E7"/>
    <w:rPr>
      <w:rFonts w:cs="Times New Roman"/>
      <w:sz w:val="20"/>
      <w:szCs w:val="20"/>
    </w:rPr>
  </w:style>
  <w:style w:type="paragraph" w:styleId="Pedmtkomente">
    <w:name w:val="annotation subject"/>
    <w:basedOn w:val="Textkomente"/>
    <w:next w:val="Textkomente"/>
    <w:link w:val="PedmtkomenteChar"/>
    <w:uiPriority w:val="99"/>
    <w:semiHidden/>
    <w:rsid w:val="002F67E7"/>
    <w:rPr>
      <w:b/>
      <w:bCs/>
    </w:rPr>
  </w:style>
  <w:style w:type="character" w:customStyle="1" w:styleId="PedmtkomenteChar">
    <w:name w:val="Předmět komentáře Char"/>
    <w:basedOn w:val="TextkomenteChar"/>
    <w:link w:val="Pedmtkomente"/>
    <w:uiPriority w:val="99"/>
    <w:semiHidden/>
    <w:locked/>
    <w:rsid w:val="002F67E7"/>
    <w:rPr>
      <w:rFonts w:cs="Times New Roman"/>
      <w:b/>
      <w:bCs/>
      <w:sz w:val="20"/>
      <w:szCs w:val="20"/>
    </w:rPr>
  </w:style>
  <w:style w:type="paragraph" w:styleId="Textpoznpodarou">
    <w:name w:val="footnote text"/>
    <w:aliases w:val="Footnote Text Char1,Footnote Text Char Char,Footnote Text Char2 Char Char,Footnote Text Char1 Char Char Char,Footnote Text Char Char Char Char Char,Footnote Text Char2 Char Char Char Char Char,Footnote Text Char"/>
    <w:basedOn w:val="Normln"/>
    <w:link w:val="TextpoznpodarouChar"/>
    <w:rsid w:val="00020115"/>
    <w:pPr>
      <w:ind w:firstLine="0"/>
    </w:pPr>
    <w:rPr>
      <w:rFonts w:ascii="Times New Roman" w:hAnsi="Times New Roman"/>
      <w:sz w:val="20"/>
      <w:szCs w:val="20"/>
    </w:rPr>
  </w:style>
  <w:style w:type="character" w:customStyle="1" w:styleId="TextpoznpodarouChar">
    <w:name w:val="Text pozn. pod čarou Char"/>
    <w:aliases w:val="Footnote Text Char1 Char,Footnote Text Char Char Char,Footnote Text Char2 Char Char Char,Footnote Text Char1 Char Char Char Char,Footnote Text Char Char Char Char Char Char,Footnote Text Char2 Char Char Char Char Char Char"/>
    <w:basedOn w:val="Standardnpsmoodstavce"/>
    <w:link w:val="Textpoznpodarou"/>
    <w:locked/>
    <w:rsid w:val="00020115"/>
    <w:rPr>
      <w:rFonts w:ascii="Times New Roman" w:hAnsi="Times New Roman" w:cs="Times New Roman"/>
      <w:sz w:val="20"/>
      <w:szCs w:val="20"/>
    </w:rPr>
  </w:style>
  <w:style w:type="character" w:styleId="Znakapoznpodarou">
    <w:name w:val="footnote reference"/>
    <w:basedOn w:val="Standardnpsmoodstavce"/>
    <w:rsid w:val="00020115"/>
    <w:rPr>
      <w:rFonts w:cs="Times New Roman"/>
      <w:vertAlign w:val="superscript"/>
    </w:rPr>
  </w:style>
  <w:style w:type="table" w:styleId="Svtlstnovnzvraznn4">
    <w:name w:val="Light Shading Accent 4"/>
    <w:basedOn w:val="Normlntabulka"/>
    <w:uiPriority w:val="99"/>
    <w:rsid w:val="00BD4D8F"/>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customStyle="1" w:styleId="Odstavecseseznamem1">
    <w:name w:val="Odstavec se seznamem1"/>
    <w:basedOn w:val="Normln"/>
    <w:uiPriority w:val="99"/>
    <w:rsid w:val="00FE4DFE"/>
    <w:pPr>
      <w:spacing w:after="200" w:line="276" w:lineRule="auto"/>
      <w:ind w:left="720" w:firstLine="0"/>
      <w:contextualSpacing/>
      <w:jc w:val="left"/>
    </w:pPr>
    <w:rPr>
      <w:lang w:val="en-GB"/>
    </w:rPr>
  </w:style>
  <w:style w:type="paragraph" w:customStyle="1" w:styleId="Normln2">
    <w:name w:val="Normální 2"/>
    <w:basedOn w:val="Normln"/>
    <w:link w:val="Normln2Char"/>
    <w:uiPriority w:val="99"/>
    <w:rsid w:val="00161619"/>
    <w:pPr>
      <w:ind w:firstLine="0"/>
    </w:pPr>
    <w:rPr>
      <w:rFonts w:ascii="Times New Roman" w:hAnsi="Times New Roman"/>
      <w:noProof/>
      <w:sz w:val="24"/>
      <w:szCs w:val="20"/>
      <w:lang w:eastAsia="cs-CZ"/>
    </w:rPr>
  </w:style>
  <w:style w:type="character" w:customStyle="1" w:styleId="Normln2Char">
    <w:name w:val="Normální 2 Char"/>
    <w:link w:val="Normln2"/>
    <w:uiPriority w:val="99"/>
    <w:locked/>
    <w:rsid w:val="00161619"/>
    <w:rPr>
      <w:rFonts w:ascii="Times New Roman" w:hAnsi="Times New Roman"/>
      <w:noProof/>
      <w:sz w:val="24"/>
      <w:szCs w:val="20"/>
    </w:rPr>
  </w:style>
  <w:style w:type="paragraph" w:customStyle="1" w:styleId="Default">
    <w:name w:val="Default"/>
    <w:rsid w:val="00654CF5"/>
    <w:pPr>
      <w:autoSpaceDE w:val="0"/>
      <w:autoSpaceDN w:val="0"/>
      <w:adjustRightInd w:val="0"/>
    </w:pPr>
    <w:rPr>
      <w:rFonts w:ascii="Arial" w:hAnsi="Arial" w:cs="Arial"/>
      <w:color w:val="000000"/>
      <w:sz w:val="24"/>
      <w:szCs w:val="24"/>
    </w:rPr>
  </w:style>
  <w:style w:type="paragraph" w:customStyle="1" w:styleId="nadpiszkona">
    <w:name w:val="nadpis zákona"/>
    <w:basedOn w:val="Normln"/>
    <w:next w:val="Normln"/>
    <w:rsid w:val="0050569C"/>
    <w:pPr>
      <w:keepNext/>
      <w:keepLines/>
      <w:spacing w:before="120" w:after="0"/>
      <w:ind w:firstLine="0"/>
      <w:jc w:val="center"/>
      <w:outlineLvl w:val="0"/>
    </w:pPr>
    <w:rPr>
      <w:rFonts w:ascii="Times New Roman" w:hAnsi="Times New Roman"/>
      <w:b/>
      <w:sz w:val="24"/>
      <w:szCs w:val="20"/>
      <w:lang w:eastAsia="cs-CZ"/>
    </w:rPr>
  </w:style>
  <w:style w:type="paragraph" w:styleId="Obsah1">
    <w:name w:val="toc 1"/>
    <w:basedOn w:val="Normln"/>
    <w:next w:val="Normln"/>
    <w:autoRedefine/>
    <w:rsid w:val="00141C8B"/>
    <w:pPr>
      <w:spacing w:after="100"/>
    </w:pPr>
  </w:style>
  <w:style w:type="paragraph" w:styleId="Obsah2">
    <w:name w:val="toc 2"/>
    <w:basedOn w:val="Normln"/>
    <w:next w:val="Normln"/>
    <w:autoRedefine/>
    <w:rsid w:val="008F6666"/>
    <w:pPr>
      <w:spacing w:after="100"/>
      <w:ind w:left="220"/>
    </w:pPr>
    <w:rPr>
      <w:rFonts w:ascii="Arial" w:hAnsi="Arial" w:cs="Arial"/>
      <w:b/>
      <w:noProof/>
      <w:sz w:val="24"/>
      <w:szCs w:val="24"/>
    </w:rPr>
  </w:style>
  <w:style w:type="table" w:styleId="Mkatabulky">
    <w:name w:val="Table Grid"/>
    <w:basedOn w:val="Normlntabulka"/>
    <w:uiPriority w:val="59"/>
    <w:rsid w:val="00381E9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81E9A"/>
    <w:pPr>
      <w:spacing w:before="120"/>
    </w:pPr>
    <w:rPr>
      <w:rFonts w:ascii="Times New Roman" w:hAnsi="Times New Roman"/>
      <w:sz w:val="24"/>
      <w:szCs w:val="24"/>
      <w:lang w:eastAsia="cs-CZ"/>
    </w:rPr>
  </w:style>
  <w:style w:type="character" w:customStyle="1" w:styleId="OdstavecseseznamemChar">
    <w:name w:val="Odstavec se seznamem Char"/>
    <w:link w:val="Odstavecseseznamem"/>
    <w:uiPriority w:val="99"/>
    <w:locked/>
    <w:rsid w:val="00E41713"/>
    <w:rPr>
      <w:lang w:eastAsia="en-US"/>
    </w:rPr>
  </w:style>
  <w:style w:type="table" w:styleId="Stednseznam1zvraznn4">
    <w:name w:val="Medium List 1 Accent 4"/>
    <w:basedOn w:val="Normlntabulka"/>
    <w:uiPriority w:val="65"/>
    <w:rsid w:val="00E417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customStyle="1" w:styleId="Textbodu">
    <w:name w:val="Text bodu"/>
    <w:basedOn w:val="Normln"/>
    <w:rsid w:val="007218F1"/>
    <w:pPr>
      <w:numPr>
        <w:ilvl w:val="2"/>
        <w:numId w:val="45"/>
      </w:numPr>
      <w:spacing w:after="0"/>
      <w:outlineLvl w:val="8"/>
    </w:pPr>
    <w:rPr>
      <w:rFonts w:ascii="Times New Roman" w:hAnsi="Times New Roman"/>
      <w:sz w:val="24"/>
      <w:szCs w:val="20"/>
      <w:lang w:eastAsia="cs-CZ"/>
    </w:rPr>
  </w:style>
  <w:style w:type="paragraph" w:customStyle="1" w:styleId="Textpsmene">
    <w:name w:val="Text písmene"/>
    <w:basedOn w:val="Normln"/>
    <w:rsid w:val="007218F1"/>
    <w:pPr>
      <w:numPr>
        <w:ilvl w:val="1"/>
        <w:numId w:val="45"/>
      </w:numPr>
      <w:spacing w:after="0"/>
      <w:outlineLvl w:val="7"/>
    </w:pPr>
    <w:rPr>
      <w:rFonts w:ascii="Times New Roman" w:hAnsi="Times New Roman"/>
      <w:sz w:val="24"/>
      <w:szCs w:val="20"/>
      <w:lang w:eastAsia="cs-CZ"/>
    </w:rPr>
  </w:style>
  <w:style w:type="paragraph" w:customStyle="1" w:styleId="Textodstavce">
    <w:name w:val="Text odstavce"/>
    <w:basedOn w:val="Normln"/>
    <w:rsid w:val="007218F1"/>
    <w:pPr>
      <w:numPr>
        <w:numId w:val="45"/>
      </w:numPr>
      <w:tabs>
        <w:tab w:val="left" w:pos="851"/>
      </w:tabs>
      <w:spacing w:before="120"/>
      <w:outlineLvl w:val="6"/>
    </w:pPr>
    <w:rPr>
      <w:rFonts w:ascii="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26052">
      <w:bodyDiv w:val="1"/>
      <w:marLeft w:val="0"/>
      <w:marRight w:val="0"/>
      <w:marTop w:val="0"/>
      <w:marBottom w:val="0"/>
      <w:divBdr>
        <w:top w:val="none" w:sz="0" w:space="0" w:color="auto"/>
        <w:left w:val="none" w:sz="0" w:space="0" w:color="auto"/>
        <w:bottom w:val="none" w:sz="0" w:space="0" w:color="auto"/>
        <w:right w:val="none" w:sz="0" w:space="0" w:color="auto"/>
      </w:divBdr>
    </w:div>
    <w:div w:id="298263864">
      <w:bodyDiv w:val="1"/>
      <w:marLeft w:val="0"/>
      <w:marRight w:val="0"/>
      <w:marTop w:val="0"/>
      <w:marBottom w:val="0"/>
      <w:divBdr>
        <w:top w:val="none" w:sz="0" w:space="0" w:color="auto"/>
        <w:left w:val="none" w:sz="0" w:space="0" w:color="auto"/>
        <w:bottom w:val="none" w:sz="0" w:space="0" w:color="auto"/>
        <w:right w:val="none" w:sz="0" w:space="0" w:color="auto"/>
      </w:divBdr>
    </w:div>
    <w:div w:id="411393129">
      <w:bodyDiv w:val="1"/>
      <w:marLeft w:val="0"/>
      <w:marRight w:val="0"/>
      <w:marTop w:val="0"/>
      <w:marBottom w:val="0"/>
      <w:divBdr>
        <w:top w:val="none" w:sz="0" w:space="0" w:color="auto"/>
        <w:left w:val="none" w:sz="0" w:space="0" w:color="auto"/>
        <w:bottom w:val="none" w:sz="0" w:space="0" w:color="auto"/>
        <w:right w:val="none" w:sz="0" w:space="0" w:color="auto"/>
      </w:divBdr>
    </w:div>
    <w:div w:id="549879609">
      <w:bodyDiv w:val="1"/>
      <w:marLeft w:val="0"/>
      <w:marRight w:val="0"/>
      <w:marTop w:val="0"/>
      <w:marBottom w:val="0"/>
      <w:divBdr>
        <w:top w:val="none" w:sz="0" w:space="0" w:color="auto"/>
        <w:left w:val="none" w:sz="0" w:space="0" w:color="auto"/>
        <w:bottom w:val="none" w:sz="0" w:space="0" w:color="auto"/>
        <w:right w:val="none" w:sz="0" w:space="0" w:color="auto"/>
      </w:divBdr>
    </w:div>
    <w:div w:id="1910311692">
      <w:bodyDiv w:val="1"/>
      <w:marLeft w:val="0"/>
      <w:marRight w:val="0"/>
      <w:marTop w:val="0"/>
      <w:marBottom w:val="0"/>
      <w:divBdr>
        <w:top w:val="none" w:sz="0" w:space="0" w:color="auto"/>
        <w:left w:val="none" w:sz="0" w:space="0" w:color="auto"/>
        <w:bottom w:val="none" w:sz="0" w:space="0" w:color="auto"/>
        <w:right w:val="none" w:sz="0" w:space="0" w:color="auto"/>
      </w:divBdr>
    </w:div>
    <w:div w:id="1931352535">
      <w:marLeft w:val="0"/>
      <w:marRight w:val="0"/>
      <w:marTop w:val="0"/>
      <w:marBottom w:val="0"/>
      <w:divBdr>
        <w:top w:val="none" w:sz="0" w:space="0" w:color="auto"/>
        <w:left w:val="none" w:sz="0" w:space="0" w:color="auto"/>
        <w:bottom w:val="none" w:sz="0" w:space="0" w:color="auto"/>
        <w:right w:val="none" w:sz="0" w:space="0" w:color="auto"/>
      </w:divBdr>
    </w:div>
    <w:div w:id="1931352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8CD8-AA46-4DD0-AA74-0777D157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3157</Words>
  <Characters>18629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 Marek, Ing.</dc:creator>
  <cp:lastModifiedBy>KACR - Katerina Sikorova</cp:lastModifiedBy>
  <cp:revision>2</cp:revision>
  <cp:lastPrinted>2014-06-30T17:15:00Z</cp:lastPrinted>
  <dcterms:created xsi:type="dcterms:W3CDTF">2014-11-13T09:27:00Z</dcterms:created>
  <dcterms:modified xsi:type="dcterms:W3CDTF">2014-11-13T09:27:00Z</dcterms:modified>
</cp:coreProperties>
</file>