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80" w:rsidRPr="00D05A30" w:rsidRDefault="00F509EE" w:rsidP="002A7080">
      <w:pPr>
        <w:keepNext/>
        <w:spacing w:before="240" w:after="60"/>
        <w:jc w:val="center"/>
        <w:outlineLvl w:val="0"/>
        <w:rPr>
          <w:b/>
          <w:kern w:val="28"/>
          <w:sz w:val="32"/>
        </w:rPr>
      </w:pPr>
      <w:r w:rsidRPr="00D05A30">
        <w:rPr>
          <w:b/>
          <w:kern w:val="28"/>
          <w:sz w:val="32"/>
        </w:rPr>
        <w:t>Odůvodnění</w:t>
      </w:r>
    </w:p>
    <w:p w:rsidR="002A7080" w:rsidRPr="00D05A30" w:rsidRDefault="002A7080" w:rsidP="00D05A30">
      <w:pPr>
        <w:pStyle w:val="Nadpis2"/>
        <w:rPr>
          <w:b w:val="0"/>
        </w:rPr>
      </w:pPr>
      <w:bookmarkStart w:id="0" w:name="_Toc272857997"/>
      <w:bookmarkStart w:id="1" w:name="_Toc277326012"/>
      <w:r w:rsidRPr="00D05A30">
        <w:t>I. Obecná část</w:t>
      </w:r>
      <w:bookmarkEnd w:id="0"/>
      <w:bookmarkEnd w:id="1"/>
    </w:p>
    <w:p w:rsidR="00A4406B" w:rsidRPr="001B09BC" w:rsidRDefault="0094461D" w:rsidP="00D05A30">
      <w:pPr>
        <w:pStyle w:val="Nadpis2"/>
        <w:keepNext w:val="0"/>
        <w:numPr>
          <w:ilvl w:val="1"/>
          <w:numId w:val="47"/>
        </w:numPr>
        <w:shd w:val="clear" w:color="auto" w:fill="FFFFFF"/>
        <w:jc w:val="both"/>
        <w:rPr>
          <w:szCs w:val="24"/>
        </w:rPr>
      </w:pPr>
      <w:r w:rsidRPr="00465A6B">
        <w:rPr>
          <w:sz w:val="24"/>
          <w:szCs w:val="24"/>
        </w:rPr>
        <w:t>Vysvětlení nezbytnosti navrhované právní úpravy</w:t>
      </w:r>
      <w:r w:rsidR="00F509EE">
        <w:rPr>
          <w:sz w:val="24"/>
          <w:szCs w:val="24"/>
        </w:rPr>
        <w:t>,</w:t>
      </w:r>
      <w:r w:rsidR="004A6D61" w:rsidRPr="00465A6B">
        <w:rPr>
          <w:sz w:val="24"/>
          <w:szCs w:val="24"/>
        </w:rPr>
        <w:t xml:space="preserve"> odůvodnění jejich</w:t>
      </w:r>
      <w:r w:rsidR="004A6D61" w:rsidRPr="00F509EE">
        <w:rPr>
          <w:sz w:val="24"/>
          <w:szCs w:val="24"/>
        </w:rPr>
        <w:t xml:space="preserve"> hlavních principů </w:t>
      </w:r>
    </w:p>
    <w:p w:rsidR="004A6D61" w:rsidRDefault="00A4406B" w:rsidP="00201DA7">
      <w:pPr>
        <w:tabs>
          <w:tab w:val="left" w:pos="0"/>
        </w:tabs>
        <w:outlineLvl w:val="0"/>
        <w:rPr>
          <w:szCs w:val="24"/>
        </w:rPr>
      </w:pPr>
      <w:r w:rsidRPr="00201DA7">
        <w:t xml:space="preserve">Předložené nařízení vlády </w:t>
      </w:r>
      <w:r w:rsidR="00E50497">
        <w:t xml:space="preserve">reaguje na </w:t>
      </w:r>
      <w:r w:rsidRPr="00201DA7">
        <w:t xml:space="preserve">rozšíření působnosti mechanismu </w:t>
      </w:r>
      <w:r w:rsidR="00C45991" w:rsidRPr="00201DA7">
        <w:t>r</w:t>
      </w:r>
      <w:r w:rsidRPr="00201DA7">
        <w:t>e</w:t>
      </w:r>
      <w:r w:rsidR="00C45991" w:rsidRPr="00201DA7">
        <w:t>žim</w:t>
      </w:r>
      <w:r w:rsidR="008610AB" w:rsidRPr="00201DA7">
        <w:t>u</w:t>
      </w:r>
      <w:r w:rsidR="00C45991" w:rsidRPr="00201DA7">
        <w:t xml:space="preserve"> přenesení daňové povinnosti, kter</w:t>
      </w:r>
      <w:r w:rsidR="008610AB" w:rsidRPr="00201DA7">
        <w:t>ý</w:t>
      </w:r>
      <w:r w:rsidR="00C45991" w:rsidRPr="00201DA7">
        <w:t xml:space="preserve"> </w:t>
      </w:r>
      <w:r w:rsidR="008610AB" w:rsidRPr="00201DA7">
        <w:t xml:space="preserve">představuje </w:t>
      </w:r>
      <w:r w:rsidRPr="00201DA7">
        <w:t xml:space="preserve">účinný a flexibilní nástroj v boji proti daňovým podvodům. </w:t>
      </w:r>
      <w:r w:rsidR="00E50497">
        <w:t xml:space="preserve">Toto rozšíření je součástí tzv. řádné novely zákona o dani z přidané hodnoty, neboli vládního návrhu zákona, kterým se mění zákon č. 235/2004 Sb., o dani z přidané hodnoty, ve znění pozdějších předpisů, a další související zákony (sněmovní tisk č. 291). </w:t>
      </w:r>
    </w:p>
    <w:p w:rsidR="00072295" w:rsidRDefault="00072295" w:rsidP="00072295">
      <w:pPr>
        <w:pStyle w:val="Dvodovzprva"/>
        <w:keepNext w:val="0"/>
        <w:rPr>
          <w:rFonts w:ascii="Times New Roman" w:hAnsi="Times New Roman"/>
          <w:bCs/>
          <w:color w:val="auto"/>
          <w:sz w:val="24"/>
          <w:szCs w:val="24"/>
        </w:rPr>
      </w:pPr>
      <w:r>
        <w:rPr>
          <w:rFonts w:ascii="Times New Roman" w:hAnsi="Times New Roman"/>
          <w:bCs/>
          <w:color w:val="auto"/>
          <w:sz w:val="24"/>
          <w:szCs w:val="24"/>
        </w:rPr>
        <w:t>Cílem návrhu je transpozice směrnic</w:t>
      </w:r>
      <w:r w:rsidR="00C0290C">
        <w:rPr>
          <w:rFonts w:ascii="Times New Roman" w:hAnsi="Times New Roman"/>
          <w:bCs/>
          <w:color w:val="auto"/>
          <w:sz w:val="24"/>
          <w:szCs w:val="24"/>
        </w:rPr>
        <w:t>e</w:t>
      </w:r>
      <w:r>
        <w:rPr>
          <w:rFonts w:ascii="Times New Roman" w:hAnsi="Times New Roman"/>
          <w:bCs/>
          <w:color w:val="auto"/>
          <w:sz w:val="24"/>
          <w:szCs w:val="24"/>
        </w:rPr>
        <w:t xml:space="preserve"> v oblasti </w:t>
      </w:r>
      <w:r w:rsidR="00E50497">
        <w:rPr>
          <w:rFonts w:ascii="Times New Roman" w:hAnsi="Times New Roman"/>
          <w:bCs/>
          <w:color w:val="auto"/>
          <w:sz w:val="24"/>
          <w:szCs w:val="24"/>
        </w:rPr>
        <w:t xml:space="preserve">daně z přidané hodnoty </w:t>
      </w:r>
      <w:r w:rsidR="00E50497" w:rsidRPr="00E50497">
        <w:rPr>
          <w:rFonts w:ascii="Times New Roman" w:hAnsi="Times New Roman"/>
          <w:bCs/>
          <w:color w:val="auto"/>
          <w:sz w:val="24"/>
          <w:szCs w:val="24"/>
        </w:rPr>
        <w:t>(dále jen „DPH“)</w:t>
      </w:r>
      <w:r>
        <w:rPr>
          <w:rFonts w:ascii="Times New Roman" w:hAnsi="Times New Roman"/>
          <w:bCs/>
          <w:color w:val="auto"/>
          <w:sz w:val="24"/>
          <w:szCs w:val="24"/>
        </w:rPr>
        <w:t>, kter</w:t>
      </w:r>
      <w:r w:rsidR="00FD3D87">
        <w:rPr>
          <w:rFonts w:ascii="Times New Roman" w:hAnsi="Times New Roman"/>
          <w:bCs/>
          <w:color w:val="auto"/>
          <w:sz w:val="24"/>
          <w:szCs w:val="24"/>
        </w:rPr>
        <w:t>á</w:t>
      </w:r>
      <w:r>
        <w:rPr>
          <w:rFonts w:ascii="Times New Roman" w:hAnsi="Times New Roman"/>
          <w:bCs/>
          <w:color w:val="auto"/>
          <w:sz w:val="24"/>
          <w:szCs w:val="24"/>
        </w:rPr>
        <w:t xml:space="preserve"> p</w:t>
      </w:r>
      <w:r w:rsidRPr="00B46874">
        <w:rPr>
          <w:rFonts w:ascii="Times New Roman" w:hAnsi="Times New Roman"/>
          <w:bCs/>
          <w:color w:val="auto"/>
          <w:sz w:val="24"/>
          <w:szCs w:val="24"/>
        </w:rPr>
        <w:t>oskyt</w:t>
      </w:r>
      <w:r w:rsidR="00106C76">
        <w:rPr>
          <w:rFonts w:ascii="Times New Roman" w:hAnsi="Times New Roman"/>
          <w:bCs/>
          <w:color w:val="auto"/>
          <w:sz w:val="24"/>
          <w:szCs w:val="24"/>
        </w:rPr>
        <w:t>uj</w:t>
      </w:r>
      <w:r w:rsidR="00FD3D87">
        <w:rPr>
          <w:rFonts w:ascii="Times New Roman" w:hAnsi="Times New Roman"/>
          <w:bCs/>
          <w:color w:val="auto"/>
          <w:sz w:val="24"/>
          <w:szCs w:val="24"/>
        </w:rPr>
        <w:t>e</w:t>
      </w:r>
      <w:r w:rsidRPr="00B46874">
        <w:rPr>
          <w:rFonts w:ascii="Times New Roman" w:hAnsi="Times New Roman"/>
          <w:bCs/>
          <w:color w:val="auto"/>
          <w:sz w:val="24"/>
          <w:szCs w:val="24"/>
        </w:rPr>
        <w:t xml:space="preserve"> členským státům, a tím také Č</w:t>
      </w:r>
      <w:r>
        <w:rPr>
          <w:rFonts w:ascii="Times New Roman" w:hAnsi="Times New Roman"/>
          <w:bCs/>
          <w:color w:val="auto"/>
          <w:sz w:val="24"/>
          <w:szCs w:val="24"/>
        </w:rPr>
        <w:t>eské republice (dále jen „ČR“)</w:t>
      </w:r>
      <w:r w:rsidR="00870711">
        <w:rPr>
          <w:rFonts w:ascii="Times New Roman" w:hAnsi="Times New Roman"/>
          <w:bCs/>
          <w:color w:val="auto"/>
          <w:sz w:val="24"/>
          <w:szCs w:val="24"/>
        </w:rPr>
        <w:t>, účinný a </w:t>
      </w:r>
      <w:r w:rsidRPr="00B46874">
        <w:rPr>
          <w:rFonts w:ascii="Times New Roman" w:hAnsi="Times New Roman"/>
          <w:bCs/>
          <w:color w:val="auto"/>
          <w:sz w:val="24"/>
          <w:szCs w:val="24"/>
        </w:rPr>
        <w:t>flexibilní nástroj v boji proti daňovým podvodům</w:t>
      </w:r>
      <w:r>
        <w:rPr>
          <w:rFonts w:ascii="Times New Roman" w:hAnsi="Times New Roman"/>
          <w:bCs/>
          <w:color w:val="auto"/>
          <w:sz w:val="24"/>
          <w:szCs w:val="24"/>
        </w:rPr>
        <w:t>.</w:t>
      </w:r>
    </w:p>
    <w:p w:rsidR="00072295" w:rsidRDefault="00072295" w:rsidP="00072295">
      <w:pPr>
        <w:pStyle w:val="Dvodovzprva"/>
        <w:keepNext w:val="0"/>
        <w:rPr>
          <w:rFonts w:ascii="Times New Roman" w:hAnsi="Times New Roman"/>
          <w:bCs/>
          <w:color w:val="auto"/>
          <w:sz w:val="24"/>
          <w:szCs w:val="24"/>
        </w:rPr>
      </w:pPr>
      <w:r w:rsidRPr="00B46874">
        <w:rPr>
          <w:rFonts w:ascii="Times New Roman" w:hAnsi="Times New Roman"/>
          <w:bCs/>
          <w:color w:val="auto"/>
          <w:sz w:val="24"/>
          <w:szCs w:val="24"/>
        </w:rPr>
        <w:t>V roce 2013 byly přijaty dvě nové směrnice Rady</w:t>
      </w:r>
      <w:r>
        <w:rPr>
          <w:rFonts w:ascii="Times New Roman" w:hAnsi="Times New Roman"/>
          <w:bCs/>
          <w:color w:val="auto"/>
          <w:sz w:val="24"/>
          <w:szCs w:val="24"/>
        </w:rPr>
        <w:t xml:space="preserve">, které mění směrnici </w:t>
      </w:r>
      <w:r w:rsidR="009C16EB" w:rsidRPr="009C16EB">
        <w:rPr>
          <w:rFonts w:ascii="Times New Roman" w:hAnsi="Times New Roman"/>
          <w:bCs/>
          <w:color w:val="auto"/>
          <w:sz w:val="24"/>
          <w:szCs w:val="24"/>
        </w:rPr>
        <w:t xml:space="preserve">2006/112/ES ze dne 28. listopadu 2006 o společném systému daně z přidané hodnoty </w:t>
      </w:r>
      <w:r w:rsidR="009C16EB">
        <w:rPr>
          <w:rFonts w:ascii="Times New Roman" w:hAnsi="Times New Roman"/>
          <w:bCs/>
          <w:color w:val="auto"/>
          <w:sz w:val="24"/>
          <w:szCs w:val="24"/>
        </w:rPr>
        <w:t xml:space="preserve">(dále jen „směrnice </w:t>
      </w:r>
      <w:r>
        <w:rPr>
          <w:rFonts w:ascii="Times New Roman" w:hAnsi="Times New Roman"/>
          <w:bCs/>
          <w:color w:val="auto"/>
          <w:sz w:val="24"/>
          <w:szCs w:val="24"/>
        </w:rPr>
        <w:t>o</w:t>
      </w:r>
      <w:r w:rsidR="009C16EB">
        <w:rPr>
          <w:rFonts w:ascii="Times New Roman" w:hAnsi="Times New Roman"/>
          <w:bCs/>
          <w:color w:val="auto"/>
          <w:sz w:val="24"/>
          <w:szCs w:val="24"/>
        </w:rPr>
        <w:t> </w:t>
      </w:r>
      <w:r>
        <w:rPr>
          <w:rFonts w:ascii="Times New Roman" w:hAnsi="Times New Roman"/>
          <w:bCs/>
          <w:color w:val="auto"/>
          <w:sz w:val="24"/>
          <w:szCs w:val="24"/>
        </w:rPr>
        <w:t>DPH</w:t>
      </w:r>
      <w:r w:rsidR="009C16EB">
        <w:rPr>
          <w:rFonts w:ascii="Times New Roman" w:hAnsi="Times New Roman"/>
          <w:bCs/>
          <w:color w:val="auto"/>
          <w:sz w:val="24"/>
          <w:szCs w:val="24"/>
        </w:rPr>
        <w:t>“)</w:t>
      </w:r>
      <w:r>
        <w:rPr>
          <w:rFonts w:ascii="Times New Roman" w:hAnsi="Times New Roman"/>
          <w:bCs/>
          <w:color w:val="auto"/>
          <w:sz w:val="24"/>
          <w:szCs w:val="24"/>
        </w:rPr>
        <w:t xml:space="preserve">, zacílené na opatření </w:t>
      </w:r>
      <w:r w:rsidRPr="00B46874">
        <w:rPr>
          <w:rFonts w:ascii="Times New Roman" w:hAnsi="Times New Roman"/>
          <w:bCs/>
          <w:color w:val="auto"/>
          <w:sz w:val="24"/>
          <w:szCs w:val="24"/>
        </w:rPr>
        <w:t>proti daňovým podvodům</w:t>
      </w:r>
      <w:r>
        <w:rPr>
          <w:rFonts w:ascii="Times New Roman" w:hAnsi="Times New Roman"/>
          <w:bCs/>
          <w:color w:val="auto"/>
          <w:sz w:val="24"/>
          <w:szCs w:val="24"/>
        </w:rPr>
        <w:t>:</w:t>
      </w:r>
    </w:p>
    <w:p w:rsidR="00072295" w:rsidRDefault="00072295" w:rsidP="00072295">
      <w:pPr>
        <w:pStyle w:val="Dvodovzprva"/>
        <w:keepNext w:val="0"/>
        <w:numPr>
          <w:ilvl w:val="0"/>
          <w:numId w:val="5"/>
        </w:numPr>
        <w:rPr>
          <w:rFonts w:ascii="Times New Roman" w:hAnsi="Times New Roman"/>
          <w:bCs/>
          <w:color w:val="auto"/>
          <w:sz w:val="24"/>
          <w:szCs w:val="24"/>
        </w:rPr>
      </w:pPr>
      <w:r w:rsidRPr="00B46874">
        <w:rPr>
          <w:rFonts w:ascii="Times New Roman" w:hAnsi="Times New Roman"/>
          <w:bCs/>
          <w:color w:val="auto"/>
          <w:sz w:val="24"/>
          <w:szCs w:val="24"/>
        </w:rPr>
        <w:t>směrnice Rady 2013/43/EU ze dne 22. července 2013, kterou se mění směrnice 2006/112/ES o společném systému daně z přidané hodnoty, pokud jde o volitelné a</w:t>
      </w:r>
      <w:r>
        <w:rPr>
          <w:rFonts w:ascii="Times New Roman" w:hAnsi="Times New Roman"/>
          <w:bCs/>
          <w:color w:val="auto"/>
          <w:sz w:val="24"/>
          <w:szCs w:val="24"/>
        </w:rPr>
        <w:t> </w:t>
      </w:r>
      <w:r w:rsidRPr="00B46874">
        <w:rPr>
          <w:rFonts w:ascii="Times New Roman" w:hAnsi="Times New Roman"/>
          <w:bCs/>
          <w:color w:val="auto"/>
          <w:sz w:val="24"/>
          <w:szCs w:val="24"/>
        </w:rPr>
        <w:t>dočasné používání mechanismu přenesení daňové povinnosti ve vztahu k dodání některého zboží a poskytnutí některých služeb s vysokým rizikem podvodů</w:t>
      </w:r>
      <w:r>
        <w:rPr>
          <w:rFonts w:ascii="Times New Roman" w:hAnsi="Times New Roman"/>
          <w:bCs/>
          <w:color w:val="auto"/>
          <w:sz w:val="24"/>
          <w:szCs w:val="24"/>
        </w:rPr>
        <w:t>;</w:t>
      </w:r>
      <w:r w:rsidRPr="00B46874">
        <w:rPr>
          <w:rFonts w:ascii="Times New Roman" w:hAnsi="Times New Roman"/>
          <w:bCs/>
          <w:color w:val="auto"/>
          <w:sz w:val="24"/>
          <w:szCs w:val="24"/>
        </w:rPr>
        <w:t xml:space="preserve"> </w:t>
      </w:r>
    </w:p>
    <w:p w:rsidR="00072295" w:rsidRDefault="00072295" w:rsidP="00072295">
      <w:pPr>
        <w:pStyle w:val="Dvodovzprva"/>
        <w:keepNext w:val="0"/>
        <w:numPr>
          <w:ilvl w:val="0"/>
          <w:numId w:val="5"/>
        </w:numPr>
        <w:spacing w:after="240"/>
        <w:rPr>
          <w:rFonts w:ascii="Times New Roman" w:hAnsi="Times New Roman"/>
          <w:bCs/>
          <w:color w:val="auto"/>
          <w:sz w:val="24"/>
          <w:szCs w:val="24"/>
        </w:rPr>
      </w:pPr>
      <w:r w:rsidRPr="000C1376">
        <w:rPr>
          <w:rFonts w:ascii="Times New Roman" w:hAnsi="Times New Roman"/>
          <w:bCs/>
          <w:color w:val="auto"/>
          <w:sz w:val="24"/>
          <w:szCs w:val="24"/>
        </w:rPr>
        <w:t xml:space="preserve">směrnice Rady 2013/42/EU ze dne 22. července 2013, kterou se mění směrnice 2006/112/ES o společném systému daně z přidané hodnoty, pokud jde o mechanismus rychlé reakce proti podvodům v oblasti DPH. </w:t>
      </w:r>
    </w:p>
    <w:p w:rsidR="00072295" w:rsidRDefault="00072295" w:rsidP="00072295">
      <w:pPr>
        <w:pStyle w:val="Dvodovzprva"/>
        <w:keepNext w:val="0"/>
        <w:rPr>
          <w:rFonts w:ascii="Times New Roman" w:hAnsi="Times New Roman"/>
          <w:bCs/>
          <w:color w:val="auto"/>
          <w:sz w:val="24"/>
          <w:szCs w:val="24"/>
        </w:rPr>
      </w:pPr>
      <w:r w:rsidRPr="000C1376">
        <w:rPr>
          <w:rFonts w:ascii="Times New Roman" w:hAnsi="Times New Roman"/>
          <w:bCs/>
          <w:color w:val="auto"/>
          <w:sz w:val="24"/>
          <w:szCs w:val="24"/>
        </w:rPr>
        <w:t>Tyto směrnice umožnují členským státům rozšířit rozsah působnosti režimu přenesení daňové povinnosti.</w:t>
      </w:r>
      <w:r w:rsidR="00FD3D87">
        <w:rPr>
          <w:rFonts w:ascii="Times New Roman" w:hAnsi="Times New Roman"/>
          <w:bCs/>
          <w:color w:val="auto"/>
          <w:sz w:val="24"/>
          <w:szCs w:val="24"/>
        </w:rPr>
        <w:t xml:space="preserve"> Do předloženého nařízení vlády je nyní promítána pouze první z uvedených směrnic, neboť mechanismus rychlé reakc</w:t>
      </w:r>
      <w:r w:rsidR="00BD2C4F">
        <w:rPr>
          <w:rFonts w:ascii="Times New Roman" w:hAnsi="Times New Roman"/>
          <w:bCs/>
          <w:color w:val="auto"/>
          <w:sz w:val="24"/>
          <w:szCs w:val="24"/>
        </w:rPr>
        <w:t>e</w:t>
      </w:r>
      <w:r w:rsidR="00FD3D87">
        <w:rPr>
          <w:rFonts w:ascii="Times New Roman" w:hAnsi="Times New Roman"/>
          <w:bCs/>
          <w:color w:val="auto"/>
          <w:sz w:val="24"/>
          <w:szCs w:val="24"/>
        </w:rPr>
        <w:t xml:space="preserve"> zatím nebyl a ani nemohl být využit.</w:t>
      </w:r>
    </w:p>
    <w:p w:rsidR="00072295" w:rsidRDefault="00072295" w:rsidP="00072295">
      <w:pPr>
        <w:pStyle w:val="Dvodovzprva"/>
        <w:keepNext w:val="0"/>
        <w:rPr>
          <w:rFonts w:ascii="Times New Roman" w:hAnsi="Times New Roman"/>
          <w:bCs/>
          <w:color w:val="auto"/>
          <w:sz w:val="24"/>
          <w:szCs w:val="24"/>
        </w:rPr>
      </w:pPr>
      <w:r>
        <w:rPr>
          <w:rFonts w:ascii="Times New Roman" w:hAnsi="Times New Roman"/>
          <w:bCs/>
          <w:color w:val="auto"/>
          <w:sz w:val="24"/>
          <w:szCs w:val="24"/>
        </w:rPr>
        <w:t xml:space="preserve">Aplikace režimu přenesení daňové povinnosti </w:t>
      </w:r>
      <w:r w:rsidRPr="00834251">
        <w:rPr>
          <w:rFonts w:ascii="Times New Roman" w:hAnsi="Times New Roman"/>
          <w:bCs/>
          <w:color w:val="auto"/>
          <w:sz w:val="24"/>
          <w:szCs w:val="24"/>
        </w:rPr>
        <w:t>u některých vybraných kategorií zboží a služeb u tuzemských transakcí je považována za účinný nástroj v boji proti určitým typům daňových podvodů</w:t>
      </w:r>
      <w:r>
        <w:rPr>
          <w:rFonts w:ascii="Times New Roman" w:hAnsi="Times New Roman"/>
          <w:bCs/>
          <w:color w:val="auto"/>
          <w:sz w:val="24"/>
          <w:szCs w:val="24"/>
        </w:rPr>
        <w:t xml:space="preserve">. Jde především o podvody v řetězci, kdy poskytovatel příslušného plnění (dodavatel zboží nebo poskytovatel služby, tzv. chybějící obchodník) neuhradí daň na výstupu, zatímco konečný příjemce tohoto plnění uplatní nárok na odpočet daně na vstupu. </w:t>
      </w:r>
      <w:r w:rsidRPr="00845155">
        <w:rPr>
          <w:rFonts w:ascii="Times New Roman" w:hAnsi="Times New Roman"/>
          <w:bCs/>
          <w:color w:val="auto"/>
          <w:sz w:val="24"/>
          <w:szCs w:val="24"/>
        </w:rPr>
        <w:t>Mechanismus přenesení daňové povinnosti</w:t>
      </w:r>
      <w:r>
        <w:rPr>
          <w:rFonts w:ascii="Times New Roman" w:hAnsi="Times New Roman"/>
          <w:bCs/>
          <w:color w:val="auto"/>
          <w:sz w:val="24"/>
          <w:szCs w:val="24"/>
        </w:rPr>
        <w:t>, který</w:t>
      </w:r>
      <w:r w:rsidRPr="00845155">
        <w:rPr>
          <w:rFonts w:ascii="Times New Roman" w:hAnsi="Times New Roman"/>
          <w:bCs/>
          <w:color w:val="auto"/>
          <w:sz w:val="24"/>
          <w:szCs w:val="24"/>
        </w:rPr>
        <w:t xml:space="preserve"> spočívá v tom, že </w:t>
      </w:r>
      <w:r>
        <w:rPr>
          <w:rFonts w:ascii="Times New Roman" w:hAnsi="Times New Roman"/>
          <w:bCs/>
          <w:color w:val="auto"/>
          <w:sz w:val="24"/>
          <w:szCs w:val="24"/>
        </w:rPr>
        <w:t xml:space="preserve">povinnost přiznat DPH se přesouvá z poskytovatele plnění na jeho příjemce, odstraňuje možnost vzniku tohoto typu podvodu. </w:t>
      </w:r>
    </w:p>
    <w:p w:rsidR="00072295" w:rsidRPr="007D4BC3" w:rsidRDefault="00072295" w:rsidP="007D4BC3">
      <w:pPr>
        <w:pStyle w:val="Nadpis2"/>
        <w:keepNext w:val="0"/>
        <w:numPr>
          <w:ilvl w:val="1"/>
          <w:numId w:val="47"/>
        </w:numPr>
        <w:shd w:val="clear" w:color="auto" w:fill="FFFFFF"/>
        <w:jc w:val="both"/>
        <w:rPr>
          <w:b w:val="0"/>
          <w:bCs w:val="0"/>
          <w:szCs w:val="24"/>
        </w:rPr>
      </w:pPr>
      <w:r w:rsidRPr="007D4BC3">
        <w:rPr>
          <w:sz w:val="24"/>
          <w:szCs w:val="24"/>
        </w:rPr>
        <w:t>Zhodnocení souladu navrhované právní úpravy se zákonem</w:t>
      </w:r>
      <w:r w:rsidR="00F509EE" w:rsidRPr="00F509EE">
        <w:rPr>
          <w:sz w:val="24"/>
          <w:szCs w:val="24"/>
        </w:rPr>
        <w:t>, k jehož provedení je navržena, a s předpisy Evropské unie, judikaturou soudních orgánů Evropské unie a obecnými právními zásadami práva Evropské unie</w:t>
      </w:r>
    </w:p>
    <w:p w:rsidR="00072295" w:rsidRDefault="00072295" w:rsidP="00072295">
      <w:pPr>
        <w:tabs>
          <w:tab w:val="left" w:pos="0"/>
        </w:tabs>
        <w:spacing w:after="200"/>
        <w:rPr>
          <w:rFonts w:eastAsia="Calibri"/>
          <w:bCs/>
          <w:szCs w:val="24"/>
          <w:lang w:eastAsia="en-US"/>
        </w:rPr>
      </w:pPr>
      <w:r>
        <w:rPr>
          <w:rFonts w:eastAsia="Calibri"/>
          <w:bCs/>
          <w:szCs w:val="24"/>
          <w:lang w:eastAsia="en-US"/>
        </w:rPr>
        <w:t xml:space="preserve">Zákonné zmocnění k vydání nařízení vlády </w:t>
      </w:r>
      <w:r w:rsidR="00706712">
        <w:rPr>
          <w:rFonts w:eastAsia="Calibri"/>
          <w:bCs/>
          <w:szCs w:val="24"/>
          <w:lang w:eastAsia="en-US"/>
        </w:rPr>
        <w:t xml:space="preserve">bude </w:t>
      </w:r>
      <w:r>
        <w:rPr>
          <w:rFonts w:eastAsia="Calibri"/>
          <w:bCs/>
          <w:szCs w:val="24"/>
          <w:lang w:eastAsia="en-US"/>
        </w:rPr>
        <w:t>obsaženo v zákoně</w:t>
      </w:r>
      <w:r w:rsidR="00706712" w:rsidRPr="00706712">
        <w:rPr>
          <w:rFonts w:eastAsia="Calibri"/>
          <w:bCs/>
          <w:szCs w:val="24"/>
        </w:rPr>
        <w:t xml:space="preserve"> </w:t>
      </w:r>
      <w:r w:rsidR="00706712" w:rsidRPr="00B1364B">
        <w:rPr>
          <w:rFonts w:eastAsia="Calibri"/>
          <w:bCs/>
          <w:szCs w:val="24"/>
        </w:rPr>
        <w:t>č. 235/2004 Sb., o dani z přidané hodnoty,</w:t>
      </w:r>
      <w:r>
        <w:rPr>
          <w:rFonts w:eastAsia="Calibri"/>
          <w:bCs/>
          <w:szCs w:val="24"/>
          <w:lang w:eastAsia="en-US"/>
        </w:rPr>
        <w:t xml:space="preserve"> ve znění </w:t>
      </w:r>
      <w:r w:rsidR="00706712">
        <w:rPr>
          <w:rFonts w:eastAsia="Calibri"/>
          <w:bCs/>
          <w:szCs w:val="24"/>
          <w:lang w:eastAsia="en-US"/>
        </w:rPr>
        <w:t xml:space="preserve">účinném </w:t>
      </w:r>
      <w:r>
        <w:rPr>
          <w:rFonts w:eastAsia="Calibri"/>
          <w:bCs/>
          <w:szCs w:val="24"/>
          <w:lang w:eastAsia="en-US"/>
        </w:rPr>
        <w:t>od 1. </w:t>
      </w:r>
      <w:r w:rsidR="00706712">
        <w:rPr>
          <w:rFonts w:eastAsia="Calibri"/>
          <w:bCs/>
          <w:szCs w:val="24"/>
          <w:lang w:eastAsia="en-US"/>
        </w:rPr>
        <w:t>ledna</w:t>
      </w:r>
      <w:r>
        <w:rPr>
          <w:rFonts w:eastAsia="Calibri"/>
          <w:bCs/>
          <w:szCs w:val="24"/>
          <w:lang w:eastAsia="en-US"/>
        </w:rPr>
        <w:t> 2015</w:t>
      </w:r>
      <w:r w:rsidR="00706712">
        <w:rPr>
          <w:rFonts w:eastAsia="Calibri"/>
          <w:bCs/>
          <w:szCs w:val="24"/>
          <w:lang w:eastAsia="en-US"/>
        </w:rPr>
        <w:t xml:space="preserve"> (v současné době je předmětem řádné novely zákona o dani z přidané hodnoty – sněmovní tisk č. 291)</w:t>
      </w:r>
      <w:r w:rsidR="00C0290C">
        <w:rPr>
          <w:rFonts w:eastAsia="Calibri"/>
          <w:bCs/>
          <w:szCs w:val="24"/>
          <w:lang w:eastAsia="en-US"/>
        </w:rPr>
        <w:t>, a to v ustanovení § 92f.</w:t>
      </w:r>
    </w:p>
    <w:p w:rsidR="00072295" w:rsidRPr="00B564D5" w:rsidRDefault="00072295" w:rsidP="00072295">
      <w:pPr>
        <w:tabs>
          <w:tab w:val="left" w:pos="0"/>
        </w:tabs>
        <w:spacing w:after="200"/>
        <w:rPr>
          <w:rFonts w:eastAsia="Calibri"/>
          <w:bCs/>
          <w:szCs w:val="24"/>
        </w:rPr>
      </w:pPr>
      <w:r>
        <w:rPr>
          <w:rFonts w:eastAsia="Calibri"/>
          <w:bCs/>
          <w:szCs w:val="24"/>
          <w:lang w:eastAsia="en-US"/>
        </w:rPr>
        <w:t>Ve vazbě na aktuální právní úpravu EU se v zákoně o DPH s účinností od 1. </w:t>
      </w:r>
      <w:r w:rsidR="00FD3D87">
        <w:rPr>
          <w:rFonts w:eastAsia="Calibri"/>
          <w:bCs/>
          <w:szCs w:val="24"/>
          <w:lang w:eastAsia="en-US"/>
        </w:rPr>
        <w:t>ledna</w:t>
      </w:r>
      <w:r>
        <w:rPr>
          <w:rFonts w:eastAsia="Calibri"/>
          <w:bCs/>
          <w:szCs w:val="24"/>
          <w:lang w:eastAsia="en-US"/>
        </w:rPr>
        <w:t xml:space="preserve"> 2015 mění </w:t>
      </w:r>
      <w:r w:rsidRPr="00B564D5">
        <w:rPr>
          <w:rFonts w:eastAsia="Calibri"/>
          <w:bCs/>
          <w:szCs w:val="24"/>
          <w:lang w:eastAsia="en-US"/>
        </w:rPr>
        <w:t>koncepc</w:t>
      </w:r>
      <w:r>
        <w:rPr>
          <w:rFonts w:eastAsia="Calibri"/>
          <w:bCs/>
          <w:szCs w:val="24"/>
          <w:lang w:eastAsia="en-US"/>
        </w:rPr>
        <w:t>e</w:t>
      </w:r>
      <w:r w:rsidRPr="00B564D5">
        <w:rPr>
          <w:rFonts w:eastAsia="Calibri"/>
          <w:bCs/>
          <w:szCs w:val="24"/>
          <w:lang w:eastAsia="en-US"/>
        </w:rPr>
        <w:t xml:space="preserve"> režimu přenesení daňové povinnosti</w:t>
      </w:r>
      <w:r>
        <w:rPr>
          <w:rFonts w:eastAsia="Calibri"/>
          <w:bCs/>
          <w:szCs w:val="24"/>
          <w:lang w:eastAsia="en-US"/>
        </w:rPr>
        <w:t xml:space="preserve">. Zavádí se </w:t>
      </w:r>
      <w:r w:rsidR="00BC4490">
        <w:rPr>
          <w:rFonts w:eastAsia="Calibri"/>
          <w:bCs/>
          <w:szCs w:val="24"/>
          <w:lang w:eastAsia="en-US"/>
        </w:rPr>
        <w:t xml:space="preserve">celkově </w:t>
      </w:r>
      <w:r w:rsidRPr="00B564D5">
        <w:rPr>
          <w:rFonts w:eastAsia="Calibri"/>
          <w:bCs/>
          <w:szCs w:val="24"/>
        </w:rPr>
        <w:t>dva dočasné režimy přenesení daňové povinnosti</w:t>
      </w:r>
      <w:r w:rsidR="00BC4490">
        <w:rPr>
          <w:rFonts w:eastAsia="Calibri"/>
          <w:bCs/>
          <w:szCs w:val="24"/>
        </w:rPr>
        <w:t>, avšak pro účely tohoto nařízení je klíčov</w:t>
      </w:r>
      <w:r w:rsidR="007D4BC3">
        <w:rPr>
          <w:rFonts w:eastAsia="Calibri"/>
          <w:bCs/>
          <w:szCs w:val="24"/>
        </w:rPr>
        <w:t>ý</w:t>
      </w:r>
      <w:r w:rsidR="00BC4490">
        <w:rPr>
          <w:rFonts w:eastAsia="Calibri"/>
          <w:bCs/>
          <w:szCs w:val="24"/>
        </w:rPr>
        <w:t xml:space="preserve"> první z nich.</w:t>
      </w:r>
      <w:r w:rsidRPr="00B564D5">
        <w:rPr>
          <w:rFonts w:eastAsia="Calibri"/>
          <w:bCs/>
          <w:szCs w:val="24"/>
        </w:rPr>
        <w:t xml:space="preserve"> </w:t>
      </w:r>
      <w:r w:rsidR="00BC4490">
        <w:rPr>
          <w:rFonts w:eastAsia="Calibri"/>
          <w:bCs/>
          <w:szCs w:val="24"/>
        </w:rPr>
        <w:lastRenderedPageBreak/>
        <w:t>N</w:t>
      </w:r>
      <w:r w:rsidR="00870711">
        <w:rPr>
          <w:rFonts w:eastAsia="Calibri"/>
          <w:bCs/>
          <w:szCs w:val="24"/>
        </w:rPr>
        <w:t>a </w:t>
      </w:r>
      <w:r w:rsidRPr="00B564D5">
        <w:rPr>
          <w:rFonts w:eastAsia="Calibri"/>
          <w:bCs/>
          <w:szCs w:val="24"/>
        </w:rPr>
        <w:t xml:space="preserve">základě zákona o DPH </w:t>
      </w:r>
      <w:r w:rsidR="00BC4490">
        <w:rPr>
          <w:rFonts w:eastAsia="Calibri"/>
          <w:bCs/>
          <w:szCs w:val="24"/>
        </w:rPr>
        <w:t xml:space="preserve">bude moci </w:t>
      </w:r>
      <w:r>
        <w:rPr>
          <w:rFonts w:eastAsia="Calibri"/>
          <w:bCs/>
          <w:szCs w:val="24"/>
        </w:rPr>
        <w:t xml:space="preserve">vláda </w:t>
      </w:r>
      <w:r w:rsidR="00706712">
        <w:rPr>
          <w:rFonts w:eastAsia="Calibri"/>
          <w:bCs/>
          <w:szCs w:val="24"/>
        </w:rPr>
        <w:t xml:space="preserve">nařízením </w:t>
      </w:r>
      <w:r w:rsidRPr="00B564D5">
        <w:rPr>
          <w:rFonts w:eastAsia="Calibri"/>
          <w:bCs/>
          <w:szCs w:val="24"/>
        </w:rPr>
        <w:t xml:space="preserve">stanovit dočasné používání režimu přenesení daňové povinnosti pro určité dodání zboží nebo poskytnutí služby. </w:t>
      </w:r>
    </w:p>
    <w:p w:rsidR="00072295" w:rsidRPr="00B564D5" w:rsidRDefault="00072295" w:rsidP="00072295">
      <w:pPr>
        <w:tabs>
          <w:tab w:val="left" w:pos="0"/>
        </w:tabs>
        <w:spacing w:after="200"/>
        <w:rPr>
          <w:rFonts w:eastAsia="Calibri"/>
          <w:bCs/>
          <w:szCs w:val="24"/>
        </w:rPr>
      </w:pPr>
      <w:r w:rsidRPr="00B564D5">
        <w:rPr>
          <w:rFonts w:eastAsia="Calibri"/>
          <w:bCs/>
          <w:szCs w:val="24"/>
        </w:rPr>
        <w:t xml:space="preserve">V prvním z </w:t>
      </w:r>
      <w:r w:rsidRPr="00B564D5">
        <w:rPr>
          <w:rFonts w:eastAsia="Calibri"/>
          <w:bCs/>
          <w:szCs w:val="24"/>
          <w:lang w:eastAsia="en-US"/>
        </w:rPr>
        <w:t>těchto</w:t>
      </w:r>
      <w:r w:rsidRPr="00B564D5">
        <w:rPr>
          <w:rFonts w:eastAsia="Calibri"/>
          <w:bCs/>
          <w:szCs w:val="24"/>
        </w:rPr>
        <w:t xml:space="preserve"> dočasných režimů </w:t>
      </w:r>
      <w:r>
        <w:rPr>
          <w:rFonts w:eastAsia="Calibri"/>
          <w:bCs/>
          <w:szCs w:val="24"/>
        </w:rPr>
        <w:t xml:space="preserve">v § 92f zákona o DPH </w:t>
      </w:r>
      <w:r w:rsidRPr="00B564D5">
        <w:rPr>
          <w:rFonts w:eastAsia="Calibri"/>
          <w:bCs/>
          <w:szCs w:val="24"/>
        </w:rPr>
        <w:t>(navazuje na směrnici Rady</w:t>
      </w:r>
      <w:r w:rsidR="00406265">
        <w:rPr>
          <w:rFonts w:eastAsia="Calibri"/>
          <w:bCs/>
          <w:szCs w:val="24"/>
        </w:rPr>
        <w:t xml:space="preserve"> </w:t>
      </w:r>
      <w:r w:rsidRPr="00B564D5">
        <w:rPr>
          <w:rFonts w:eastAsia="Calibri"/>
          <w:bCs/>
          <w:szCs w:val="24"/>
        </w:rPr>
        <w:t>2013/43/EU) se </w:t>
      </w:r>
      <w:r>
        <w:rPr>
          <w:rFonts w:eastAsia="Calibri"/>
          <w:bCs/>
          <w:szCs w:val="24"/>
        </w:rPr>
        <w:t>umožňuje</w:t>
      </w:r>
      <w:r w:rsidRPr="00B564D5">
        <w:rPr>
          <w:rFonts w:eastAsia="Calibri"/>
          <w:bCs/>
          <w:szCs w:val="24"/>
        </w:rPr>
        <w:t xml:space="preserve"> nařízením vlády vybrat z množiny plnění uvedených v příloze č. 6 zákona o DPH. Seznam plnění zahrnuje</w:t>
      </w:r>
      <w:r w:rsidR="00BC4490">
        <w:rPr>
          <w:rFonts w:eastAsia="Calibri"/>
          <w:bCs/>
          <w:szCs w:val="24"/>
        </w:rPr>
        <w:t>,</w:t>
      </w:r>
      <w:r w:rsidRPr="00B564D5">
        <w:rPr>
          <w:rFonts w:eastAsia="Calibri"/>
          <w:bCs/>
          <w:szCs w:val="24"/>
        </w:rPr>
        <w:t xml:space="preserve"> kromě dosud stanovených převod</w:t>
      </w:r>
      <w:r w:rsidR="00BC4490">
        <w:rPr>
          <w:rFonts w:eastAsia="Calibri"/>
          <w:bCs/>
          <w:szCs w:val="24"/>
        </w:rPr>
        <w:t>ů</w:t>
      </w:r>
      <w:r w:rsidRPr="00B564D5">
        <w:rPr>
          <w:rFonts w:eastAsia="Calibri"/>
          <w:bCs/>
          <w:szCs w:val="24"/>
        </w:rPr>
        <w:t xml:space="preserve"> povole</w:t>
      </w:r>
      <w:r w:rsidR="00870711">
        <w:rPr>
          <w:rFonts w:eastAsia="Calibri"/>
          <w:bCs/>
          <w:szCs w:val="24"/>
        </w:rPr>
        <w:t>nek na </w:t>
      </w:r>
      <w:r>
        <w:rPr>
          <w:rFonts w:eastAsia="Calibri"/>
          <w:bCs/>
          <w:szCs w:val="24"/>
        </w:rPr>
        <w:t>emise skleníkových plynů</w:t>
      </w:r>
      <w:r w:rsidR="00BC4490">
        <w:rPr>
          <w:rFonts w:eastAsia="Calibri"/>
          <w:bCs/>
          <w:szCs w:val="24"/>
        </w:rPr>
        <w:t>,</w:t>
      </w:r>
      <w:r w:rsidRPr="00B564D5">
        <w:rPr>
          <w:rFonts w:eastAsia="Calibri"/>
          <w:bCs/>
          <w:szCs w:val="24"/>
        </w:rPr>
        <w:t xml:space="preserve"> nově např. dodání mobilních telefonů, zařízení s integrovanými obvody, dodání herních konzolí, </w:t>
      </w:r>
      <w:proofErr w:type="spellStart"/>
      <w:r w:rsidRPr="00B564D5">
        <w:rPr>
          <w:rFonts w:eastAsia="Calibri"/>
          <w:bCs/>
          <w:szCs w:val="24"/>
        </w:rPr>
        <w:t>tabletů</w:t>
      </w:r>
      <w:proofErr w:type="spellEnd"/>
      <w:r w:rsidRPr="00B564D5">
        <w:rPr>
          <w:rFonts w:eastAsia="Calibri"/>
          <w:bCs/>
          <w:szCs w:val="24"/>
        </w:rPr>
        <w:t xml:space="preserve"> a laptopů, dodání obilovin a technických plodin, včetně olejnatých semen a cukrové řepy, dodání surových či </w:t>
      </w:r>
      <w:proofErr w:type="spellStart"/>
      <w:r w:rsidRPr="00B564D5">
        <w:rPr>
          <w:rFonts w:eastAsia="Calibri"/>
          <w:bCs/>
          <w:szCs w:val="24"/>
        </w:rPr>
        <w:t>polozpracovaných</w:t>
      </w:r>
      <w:proofErr w:type="spellEnd"/>
      <w:r w:rsidRPr="00B564D5">
        <w:rPr>
          <w:rFonts w:eastAsia="Calibri"/>
          <w:bCs/>
          <w:szCs w:val="24"/>
        </w:rPr>
        <w:t xml:space="preserve"> kovů, včetně drahých kovů.</w:t>
      </w:r>
      <w:r>
        <w:rPr>
          <w:rFonts w:eastAsia="Calibri"/>
          <w:bCs/>
          <w:szCs w:val="24"/>
        </w:rPr>
        <w:t xml:space="preserve"> </w:t>
      </w:r>
      <w:r w:rsidR="00731582">
        <w:rPr>
          <w:rFonts w:eastAsia="Calibri"/>
          <w:bCs/>
          <w:szCs w:val="24"/>
        </w:rPr>
        <w:t xml:space="preserve">Výše uvedený seznam plnění byl stanoven na základě vypracovaných </w:t>
      </w:r>
      <w:r w:rsidR="00731582">
        <w:t xml:space="preserve">analýz rizik daňových úniků, které provedla </w:t>
      </w:r>
      <w:r w:rsidR="00731582">
        <w:rPr>
          <w:szCs w:val="24"/>
        </w:rPr>
        <w:t>Finanční správa Č</w:t>
      </w:r>
      <w:r w:rsidR="00B26BD3">
        <w:rPr>
          <w:szCs w:val="24"/>
        </w:rPr>
        <w:t>eské republiky u</w:t>
      </w:r>
      <w:r w:rsidR="00731582">
        <w:rPr>
          <w:szCs w:val="24"/>
        </w:rPr>
        <w:t xml:space="preserve"> </w:t>
      </w:r>
      <w:r w:rsidR="00731582">
        <w:t>komodit, kde </w:t>
      </w:r>
      <w:r w:rsidR="00731582" w:rsidRPr="00A0032D">
        <w:t>dochází v tuzemsku k daňovým podvodům</w:t>
      </w:r>
      <w:r w:rsidR="00731582">
        <w:t>.</w:t>
      </w:r>
    </w:p>
    <w:p w:rsidR="00072295" w:rsidRDefault="00072295" w:rsidP="00072295">
      <w:pPr>
        <w:tabs>
          <w:tab w:val="left" w:pos="0"/>
        </w:tabs>
        <w:spacing w:after="200"/>
        <w:rPr>
          <w:rFonts w:eastAsia="Calibri"/>
          <w:bCs/>
          <w:szCs w:val="24"/>
        </w:rPr>
      </w:pPr>
      <w:r w:rsidRPr="00B564D5">
        <w:rPr>
          <w:rFonts w:eastAsia="Calibri"/>
          <w:bCs/>
          <w:szCs w:val="24"/>
        </w:rPr>
        <w:t xml:space="preserve">U druhého </w:t>
      </w:r>
      <w:r w:rsidRPr="00B564D5">
        <w:rPr>
          <w:rFonts w:eastAsia="Calibri"/>
          <w:bCs/>
          <w:szCs w:val="24"/>
          <w:lang w:eastAsia="en-US"/>
        </w:rPr>
        <w:t>dočasného</w:t>
      </w:r>
      <w:r w:rsidRPr="00B564D5">
        <w:rPr>
          <w:rFonts w:eastAsia="Calibri"/>
          <w:bCs/>
          <w:szCs w:val="24"/>
        </w:rPr>
        <w:t xml:space="preserve"> režimu, tzv. mechanismu rychlé reakce</w:t>
      </w:r>
      <w:r>
        <w:rPr>
          <w:rFonts w:eastAsia="Calibri"/>
          <w:bCs/>
          <w:szCs w:val="24"/>
        </w:rPr>
        <w:t>, v § 92g</w:t>
      </w:r>
      <w:r w:rsidRPr="00B564D5">
        <w:rPr>
          <w:rFonts w:eastAsia="Calibri"/>
          <w:bCs/>
          <w:szCs w:val="24"/>
        </w:rPr>
        <w:t xml:space="preserve"> </w:t>
      </w:r>
      <w:r>
        <w:rPr>
          <w:rFonts w:eastAsia="Calibri"/>
          <w:bCs/>
          <w:szCs w:val="24"/>
        </w:rPr>
        <w:t xml:space="preserve">zákona o DPH </w:t>
      </w:r>
      <w:r w:rsidRPr="00B564D5">
        <w:rPr>
          <w:rFonts w:eastAsia="Calibri"/>
          <w:bCs/>
          <w:szCs w:val="24"/>
        </w:rPr>
        <w:t xml:space="preserve">(navazuje na směrnici Rady 2013/42/EU) nová úprava </w:t>
      </w:r>
      <w:r>
        <w:rPr>
          <w:rFonts w:eastAsia="Calibri"/>
          <w:bCs/>
          <w:szCs w:val="24"/>
        </w:rPr>
        <w:t xml:space="preserve">opravňuje </w:t>
      </w:r>
      <w:r w:rsidRPr="00B564D5">
        <w:rPr>
          <w:rFonts w:eastAsia="Calibri"/>
          <w:bCs/>
          <w:szCs w:val="24"/>
        </w:rPr>
        <w:t>nařízením vlády na dobu maximálně devíti měsíců stanovit používání režimu přenesen</w:t>
      </w:r>
      <w:r w:rsidR="00870711">
        <w:rPr>
          <w:rFonts w:eastAsia="Calibri"/>
          <w:bCs/>
          <w:szCs w:val="24"/>
        </w:rPr>
        <w:t>í daňové povinnosti u plnění, u </w:t>
      </w:r>
      <w:r w:rsidRPr="00B564D5">
        <w:rPr>
          <w:rFonts w:eastAsia="Calibri"/>
          <w:bCs/>
          <w:szCs w:val="24"/>
        </w:rPr>
        <w:t>nichž Evropská komise za účelem boje proti daňovým únikům potvrdila, že proti použití režimu přenesení daňové povinnosti při dodání tohoto zboží nebo poskytnutí této služby nemá námitky.</w:t>
      </w:r>
    </w:p>
    <w:p w:rsidR="00072295" w:rsidRDefault="00072295" w:rsidP="00072295">
      <w:pPr>
        <w:tabs>
          <w:tab w:val="left" w:pos="0"/>
        </w:tabs>
        <w:spacing w:after="200"/>
        <w:rPr>
          <w:rFonts w:eastAsia="Calibri"/>
          <w:bCs/>
          <w:szCs w:val="24"/>
        </w:rPr>
      </w:pPr>
      <w:r>
        <w:rPr>
          <w:rFonts w:eastAsia="Calibri"/>
          <w:bCs/>
          <w:szCs w:val="24"/>
        </w:rPr>
        <w:t>K</w:t>
      </w:r>
      <w:r w:rsidRPr="004D4EE1">
        <w:rPr>
          <w:rFonts w:eastAsia="Calibri"/>
          <w:bCs/>
          <w:szCs w:val="24"/>
        </w:rPr>
        <w:t>ompetenc</w:t>
      </w:r>
      <w:r>
        <w:rPr>
          <w:rFonts w:eastAsia="Calibri"/>
          <w:bCs/>
          <w:szCs w:val="24"/>
        </w:rPr>
        <w:t>e</w:t>
      </w:r>
      <w:r w:rsidRPr="004D4EE1">
        <w:rPr>
          <w:rFonts w:eastAsia="Calibri"/>
          <w:bCs/>
          <w:szCs w:val="24"/>
        </w:rPr>
        <w:t xml:space="preserve"> vydat prováděcí nařízení </w:t>
      </w:r>
      <w:r>
        <w:rPr>
          <w:rFonts w:eastAsia="Calibri"/>
          <w:bCs/>
          <w:szCs w:val="24"/>
        </w:rPr>
        <w:t>je svěřen</w:t>
      </w:r>
      <w:r w:rsidR="00BC4490">
        <w:rPr>
          <w:rFonts w:eastAsia="Calibri"/>
          <w:bCs/>
          <w:szCs w:val="24"/>
        </w:rPr>
        <w:t>a</w:t>
      </w:r>
      <w:r>
        <w:rPr>
          <w:rFonts w:eastAsia="Calibri"/>
          <w:bCs/>
          <w:szCs w:val="24"/>
        </w:rPr>
        <w:t xml:space="preserve"> vládě </w:t>
      </w:r>
      <w:r w:rsidRPr="004D4EE1">
        <w:rPr>
          <w:rFonts w:eastAsia="Calibri"/>
          <w:bCs/>
          <w:szCs w:val="24"/>
        </w:rPr>
        <w:t>v souladu s čl. 11 odst. 5 Listiny základních práv a svobod a na základě čl. 78 Ústavy</w:t>
      </w:r>
      <w:r>
        <w:rPr>
          <w:rFonts w:eastAsia="Calibri"/>
          <w:bCs/>
          <w:szCs w:val="24"/>
        </w:rPr>
        <w:t xml:space="preserve">. </w:t>
      </w:r>
      <w:r w:rsidRPr="004D4EE1">
        <w:rPr>
          <w:rFonts w:eastAsia="Calibri"/>
          <w:bCs/>
          <w:szCs w:val="24"/>
        </w:rPr>
        <w:t>Dle čl</w:t>
      </w:r>
      <w:r w:rsidR="00870711">
        <w:rPr>
          <w:rFonts w:eastAsia="Calibri"/>
          <w:bCs/>
          <w:szCs w:val="24"/>
        </w:rPr>
        <w:t>. 11 odst. 5 Listiny lze daně a </w:t>
      </w:r>
      <w:r w:rsidRPr="004D4EE1">
        <w:rPr>
          <w:rFonts w:eastAsia="Calibri"/>
          <w:bCs/>
          <w:szCs w:val="24"/>
        </w:rPr>
        <w:t xml:space="preserve">poplatky ukládat jen na základě zákona. </w:t>
      </w:r>
      <w:r w:rsidR="00BC4490">
        <w:rPr>
          <w:rFonts w:eastAsia="Calibri"/>
          <w:bCs/>
          <w:szCs w:val="24"/>
        </w:rPr>
        <w:t>D</w:t>
      </w:r>
      <w:r w:rsidRPr="004D4EE1">
        <w:rPr>
          <w:rFonts w:eastAsia="Calibri"/>
          <w:bCs/>
          <w:szCs w:val="24"/>
        </w:rPr>
        <w:t xml:space="preserve">oktrína v tomto směru dovodila, že k tomu, aby byl naplněn tento ústavní požadavek, je třeba, aby zákon stanovil základní konstrukční prvky daně, tj. subjekt daně, daňový objekt, daňový základ a daňovou sazbu. </w:t>
      </w:r>
      <w:r w:rsidRPr="00DB252D">
        <w:rPr>
          <w:bCs/>
        </w:rPr>
        <w:t>V souladu s tím se</w:t>
      </w:r>
      <w:r>
        <w:rPr>
          <w:bCs/>
        </w:rPr>
        <w:t> </w:t>
      </w:r>
      <w:r w:rsidRPr="00DB252D">
        <w:rPr>
          <w:bCs/>
        </w:rPr>
        <w:t>vládě stanoví omezená pravomoc vybrat plnění, na něž se bude režim přenesení daňové povinnosti vztahovat.</w:t>
      </w:r>
    </w:p>
    <w:p w:rsidR="00072295" w:rsidRDefault="00072295" w:rsidP="00072295">
      <w:pPr>
        <w:tabs>
          <w:tab w:val="left" w:pos="0"/>
        </w:tabs>
        <w:spacing w:after="200"/>
        <w:rPr>
          <w:rFonts w:eastAsia="Calibri"/>
          <w:bCs/>
          <w:szCs w:val="24"/>
        </w:rPr>
      </w:pPr>
      <w:r w:rsidRPr="004D4EE1">
        <w:rPr>
          <w:rFonts w:eastAsia="Calibri"/>
          <w:bCs/>
          <w:szCs w:val="24"/>
        </w:rPr>
        <w:t xml:space="preserve">Množina plnění, z nichž bude možno nařízením vlády vybrat ta, na která se režim přenesení daňové povinnosti použije, se stanoví zákonem, a to v návaznosti na příslušný právní předpis EU. Zahrnuje pouze taková dodání zboží nebo poskytnutí služby, u nichž hrozí zvýšené riziko podvodu na </w:t>
      </w:r>
      <w:r w:rsidR="006D3712">
        <w:rPr>
          <w:rFonts w:eastAsia="Calibri"/>
          <w:bCs/>
          <w:szCs w:val="24"/>
        </w:rPr>
        <w:t>DPH</w:t>
      </w:r>
      <w:r w:rsidRPr="004D4EE1">
        <w:rPr>
          <w:rFonts w:eastAsia="Calibri"/>
          <w:bCs/>
          <w:szCs w:val="24"/>
        </w:rPr>
        <w:t>, a u nichž je členským státům svěřena pravomoc v případě potřeby použít režim přenesení daňové povinnosti.</w:t>
      </w:r>
      <w:r>
        <w:rPr>
          <w:rFonts w:eastAsia="Calibri"/>
          <w:bCs/>
          <w:szCs w:val="24"/>
        </w:rPr>
        <w:t xml:space="preserve"> </w:t>
      </w:r>
    </w:p>
    <w:p w:rsidR="00F509EE" w:rsidRDefault="00072295" w:rsidP="007D4BC3">
      <w:pPr>
        <w:tabs>
          <w:tab w:val="left" w:pos="0"/>
        </w:tabs>
        <w:spacing w:after="200"/>
        <w:rPr>
          <w:rFonts w:eastAsia="Calibri"/>
          <w:bCs/>
          <w:szCs w:val="24"/>
        </w:rPr>
      </w:pPr>
      <w:r>
        <w:rPr>
          <w:rFonts w:eastAsia="Calibri"/>
          <w:bCs/>
          <w:szCs w:val="24"/>
        </w:rPr>
        <w:t xml:space="preserve">Navrhované nařízení vlády prozatím neobsahuje právní úpravu pro mechanismus rychlé reakce, protože ČR </w:t>
      </w:r>
      <w:r w:rsidRPr="00A16F0F">
        <w:rPr>
          <w:rFonts w:eastAsia="Calibri"/>
          <w:bCs/>
          <w:szCs w:val="24"/>
        </w:rPr>
        <w:t>doposud nedetekovala žádné případy náhlých a rozsáhlých podvodů, které by vyhovovaly podmínkám použití postupu podle tohoto mechanismu.</w:t>
      </w:r>
    </w:p>
    <w:p w:rsidR="002A7080" w:rsidRPr="007D4BC3" w:rsidRDefault="006D3712" w:rsidP="007D4BC3">
      <w:pPr>
        <w:tabs>
          <w:tab w:val="left" w:pos="0"/>
        </w:tabs>
        <w:spacing w:after="200"/>
        <w:rPr>
          <w:rFonts w:eastAsia="Calibri"/>
          <w:bCs/>
          <w:szCs w:val="24"/>
        </w:rPr>
      </w:pPr>
      <w:r>
        <w:rPr>
          <w:rFonts w:eastAsia="Calibri"/>
          <w:bCs/>
          <w:szCs w:val="24"/>
        </w:rPr>
        <w:t>DPH</w:t>
      </w:r>
      <w:r w:rsidR="002A7080" w:rsidRPr="007D4BC3">
        <w:rPr>
          <w:rFonts w:eastAsia="Calibri"/>
          <w:bCs/>
          <w:szCs w:val="24"/>
        </w:rPr>
        <w:t xml:space="preserve"> tvoří jeden ze základních pilířů daňové soustavy,</w:t>
      </w:r>
      <w:r w:rsidR="003466DA">
        <w:rPr>
          <w:rFonts w:eastAsia="Calibri"/>
          <w:bCs/>
          <w:szCs w:val="24"/>
        </w:rPr>
        <w:t xml:space="preserve"> a to zejména díky výnosům z ní </w:t>
      </w:r>
      <w:r w:rsidR="002A7080" w:rsidRPr="007D4BC3">
        <w:rPr>
          <w:rFonts w:eastAsia="Calibri"/>
          <w:bCs/>
          <w:szCs w:val="24"/>
        </w:rPr>
        <w:t>plynoucích do veřejných rozpočtů. Její důležitost podtrhává i vysoká harmonizace této daně na úrovni Evropské unie</w:t>
      </w:r>
      <w:r w:rsidR="009C16EB">
        <w:rPr>
          <w:rFonts w:eastAsia="Calibri"/>
          <w:bCs/>
          <w:szCs w:val="24"/>
        </w:rPr>
        <w:t xml:space="preserve"> </w:t>
      </w:r>
      <w:r w:rsidR="009C16EB" w:rsidRPr="009C16EB">
        <w:rPr>
          <w:rFonts w:eastAsia="Calibri"/>
          <w:bCs/>
          <w:szCs w:val="24"/>
        </w:rPr>
        <w:t>(dále jen „EU“)</w:t>
      </w:r>
      <w:r w:rsidR="002A7080" w:rsidRPr="007D4BC3">
        <w:rPr>
          <w:rFonts w:eastAsia="Calibri"/>
          <w:bCs/>
          <w:szCs w:val="24"/>
        </w:rPr>
        <w:t>.</w:t>
      </w:r>
    </w:p>
    <w:p w:rsidR="002A7080" w:rsidRPr="007D4BC3" w:rsidRDefault="006D3712" w:rsidP="007D4BC3">
      <w:pPr>
        <w:tabs>
          <w:tab w:val="left" w:pos="0"/>
        </w:tabs>
        <w:spacing w:after="200"/>
        <w:rPr>
          <w:rFonts w:eastAsia="Calibri"/>
          <w:bCs/>
          <w:szCs w:val="24"/>
        </w:rPr>
      </w:pPr>
      <w:r>
        <w:rPr>
          <w:rFonts w:eastAsia="Calibri"/>
          <w:bCs/>
          <w:szCs w:val="24"/>
        </w:rPr>
        <w:t>DPH</w:t>
      </w:r>
      <w:r w:rsidR="002A7080" w:rsidRPr="007D4BC3">
        <w:rPr>
          <w:rFonts w:eastAsia="Calibri"/>
          <w:bCs/>
          <w:szCs w:val="24"/>
        </w:rPr>
        <w:t xml:space="preserve"> je upravena zákonem č. 235/2004 Sb., o dani z přidané</w:t>
      </w:r>
      <w:r w:rsidR="00870711">
        <w:rPr>
          <w:rFonts w:eastAsia="Calibri"/>
          <w:bCs/>
          <w:szCs w:val="24"/>
        </w:rPr>
        <w:t xml:space="preserve"> hodnoty, který je účinný od 1. </w:t>
      </w:r>
      <w:r w:rsidR="002A7080" w:rsidRPr="007D4BC3">
        <w:rPr>
          <w:rFonts w:eastAsia="Calibri"/>
          <w:bCs/>
          <w:szCs w:val="24"/>
        </w:rPr>
        <w:t>května 2004. Tento zákon byl již mnohokrát novelizován.</w:t>
      </w:r>
    </w:p>
    <w:p w:rsidR="002A7080" w:rsidRPr="007D4BC3" w:rsidRDefault="002A7080" w:rsidP="007D4BC3">
      <w:pPr>
        <w:tabs>
          <w:tab w:val="left" w:pos="0"/>
        </w:tabs>
        <w:spacing w:after="200"/>
        <w:rPr>
          <w:rFonts w:eastAsia="Calibri"/>
          <w:bCs/>
          <w:szCs w:val="24"/>
        </w:rPr>
      </w:pPr>
      <w:r w:rsidRPr="007D4BC3">
        <w:rPr>
          <w:rFonts w:eastAsia="Calibri"/>
          <w:bCs/>
          <w:szCs w:val="24"/>
        </w:rPr>
        <w:t>Oblast daně z přidané hodnoty je v rámci E</w:t>
      </w:r>
      <w:r w:rsidR="009C16EB">
        <w:rPr>
          <w:rFonts w:eastAsia="Calibri"/>
          <w:bCs/>
          <w:szCs w:val="24"/>
        </w:rPr>
        <w:t>U</w:t>
      </w:r>
      <w:r w:rsidRPr="007D4BC3">
        <w:rPr>
          <w:rFonts w:eastAsia="Calibri"/>
          <w:bCs/>
          <w:szCs w:val="24"/>
        </w:rPr>
        <w:t xml:space="preserve"> výrazně harmonizována. V současné době je základním předpisem pro oblast DPH směrnice o DPH. </w:t>
      </w:r>
    </w:p>
    <w:p w:rsidR="00EE4DF0" w:rsidRPr="007D4BC3" w:rsidRDefault="00EE4DF0" w:rsidP="00EE4DF0">
      <w:pPr>
        <w:tabs>
          <w:tab w:val="left" w:pos="0"/>
        </w:tabs>
        <w:spacing w:after="200"/>
        <w:rPr>
          <w:rFonts w:eastAsia="Calibri"/>
          <w:bCs/>
          <w:szCs w:val="24"/>
        </w:rPr>
      </w:pPr>
      <w:r w:rsidRPr="007D4BC3">
        <w:rPr>
          <w:rFonts w:eastAsia="Calibri"/>
          <w:bCs/>
          <w:szCs w:val="24"/>
        </w:rPr>
        <w:t xml:space="preserve">Navrhovaná právní úprava </w:t>
      </w:r>
      <w:r w:rsidR="0075086A" w:rsidRPr="007D4BC3">
        <w:rPr>
          <w:rFonts w:eastAsia="Calibri"/>
          <w:bCs/>
          <w:szCs w:val="24"/>
        </w:rPr>
        <w:t xml:space="preserve">částečně </w:t>
      </w:r>
      <w:r w:rsidRPr="007D4BC3">
        <w:rPr>
          <w:rFonts w:eastAsia="Calibri"/>
          <w:bCs/>
          <w:szCs w:val="24"/>
        </w:rPr>
        <w:t>transponuje do právního řádu</w:t>
      </w:r>
      <w:r w:rsidR="00FA2633" w:rsidRPr="007D4BC3">
        <w:rPr>
          <w:rFonts w:eastAsia="Calibri"/>
          <w:bCs/>
          <w:szCs w:val="24"/>
        </w:rPr>
        <w:t xml:space="preserve"> ČR</w:t>
      </w:r>
      <w:r w:rsidRPr="007D4BC3">
        <w:rPr>
          <w:rFonts w:eastAsia="Calibri"/>
          <w:bCs/>
          <w:szCs w:val="24"/>
        </w:rPr>
        <w:t xml:space="preserve"> příslušná ustanovení směrnice o </w:t>
      </w:r>
      <w:r w:rsidR="000C1376" w:rsidRPr="007D4BC3">
        <w:rPr>
          <w:rFonts w:eastAsia="Calibri"/>
          <w:bCs/>
          <w:szCs w:val="24"/>
        </w:rPr>
        <w:t>DPH, která jsou pro členské státy volitelná, a to konkrétně:</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60"/>
        <w:gridCol w:w="7512"/>
      </w:tblGrid>
      <w:tr w:rsidR="0075086A" w:rsidRPr="00EE4DF0" w:rsidTr="0038659B">
        <w:tc>
          <w:tcPr>
            <w:tcW w:w="1560" w:type="dxa"/>
            <w:tcBorders>
              <w:top w:val="single" w:sz="2" w:space="0" w:color="auto"/>
              <w:left w:val="single" w:sz="2" w:space="0" w:color="auto"/>
              <w:bottom w:val="single" w:sz="2" w:space="0" w:color="auto"/>
              <w:right w:val="single" w:sz="2" w:space="0" w:color="auto"/>
            </w:tcBorders>
            <w:shd w:val="clear" w:color="auto" w:fill="F2F2F2"/>
          </w:tcPr>
          <w:p w:rsidR="0075086A" w:rsidRPr="00EE4DF0" w:rsidRDefault="0075086A" w:rsidP="00EE4DF0">
            <w:pPr>
              <w:keepNext/>
              <w:jc w:val="center"/>
              <w:rPr>
                <w:b/>
              </w:rPr>
            </w:pPr>
            <w:proofErr w:type="spellStart"/>
            <w:r w:rsidRPr="00EE4DF0">
              <w:rPr>
                <w:b/>
                <w:sz w:val="22"/>
              </w:rPr>
              <w:lastRenderedPageBreak/>
              <w:t>Celex</w:t>
            </w:r>
            <w:proofErr w:type="spellEnd"/>
          </w:p>
        </w:tc>
        <w:tc>
          <w:tcPr>
            <w:tcW w:w="7512" w:type="dxa"/>
            <w:tcBorders>
              <w:top w:val="single" w:sz="2" w:space="0" w:color="auto"/>
              <w:left w:val="single" w:sz="2" w:space="0" w:color="auto"/>
              <w:bottom w:val="single" w:sz="2" w:space="0" w:color="auto"/>
              <w:right w:val="single" w:sz="2" w:space="0" w:color="auto"/>
            </w:tcBorders>
            <w:shd w:val="clear" w:color="auto" w:fill="F2F2F2"/>
          </w:tcPr>
          <w:p w:rsidR="0075086A" w:rsidRPr="00EE4DF0" w:rsidRDefault="0075086A" w:rsidP="00EE4DF0">
            <w:pPr>
              <w:keepNext/>
              <w:jc w:val="center"/>
              <w:rPr>
                <w:b/>
              </w:rPr>
            </w:pPr>
            <w:r w:rsidRPr="00EE4DF0">
              <w:rPr>
                <w:b/>
                <w:sz w:val="22"/>
              </w:rPr>
              <w:t>Název předpisu</w:t>
            </w:r>
          </w:p>
        </w:tc>
      </w:tr>
      <w:tr w:rsidR="0075086A" w:rsidRPr="00EE4DF0" w:rsidTr="0038659B">
        <w:tc>
          <w:tcPr>
            <w:tcW w:w="1560" w:type="dxa"/>
            <w:tcBorders>
              <w:top w:val="single" w:sz="2" w:space="0" w:color="auto"/>
              <w:left w:val="single" w:sz="2" w:space="0" w:color="auto"/>
              <w:bottom w:val="single" w:sz="2" w:space="0" w:color="auto"/>
              <w:right w:val="single" w:sz="2" w:space="0" w:color="auto"/>
            </w:tcBorders>
          </w:tcPr>
          <w:p w:rsidR="0075086A" w:rsidRPr="00EE4DF0" w:rsidRDefault="0075086A" w:rsidP="000C1376">
            <w:pPr>
              <w:keepNext/>
            </w:pPr>
            <w:r w:rsidRPr="0038659B">
              <w:rPr>
                <w:szCs w:val="24"/>
              </w:rPr>
              <w:t>32013L0043</w:t>
            </w:r>
          </w:p>
        </w:tc>
        <w:tc>
          <w:tcPr>
            <w:tcW w:w="7512" w:type="dxa"/>
            <w:tcBorders>
              <w:top w:val="single" w:sz="2" w:space="0" w:color="auto"/>
              <w:left w:val="single" w:sz="2" w:space="0" w:color="auto"/>
              <w:bottom w:val="single" w:sz="2" w:space="0" w:color="auto"/>
              <w:right w:val="single" w:sz="2" w:space="0" w:color="auto"/>
            </w:tcBorders>
          </w:tcPr>
          <w:p w:rsidR="0075086A" w:rsidRPr="00EE4DF0" w:rsidRDefault="0075086A" w:rsidP="00AF49DE">
            <w:pPr>
              <w:keepNext/>
            </w:pPr>
            <w:r>
              <w:rPr>
                <w:bCs/>
                <w:szCs w:val="24"/>
              </w:rPr>
              <w:t>S</w:t>
            </w:r>
            <w:r w:rsidRPr="00B46874">
              <w:rPr>
                <w:bCs/>
                <w:szCs w:val="24"/>
              </w:rPr>
              <w:t>měrnice Rady 2013/43/EU ze dne 22. července 2013, kterou se mění směrnice 2006/112/ES o společném systému daně z přidané hodnoty, pokud jde o volitelné a</w:t>
            </w:r>
            <w:r>
              <w:rPr>
                <w:bCs/>
                <w:szCs w:val="24"/>
              </w:rPr>
              <w:t> </w:t>
            </w:r>
            <w:r w:rsidRPr="00B46874">
              <w:rPr>
                <w:bCs/>
                <w:szCs w:val="24"/>
              </w:rPr>
              <w:t>dočasné používání mechanismu přenesení daňové povinnosti ve vztahu k dodání některého zboží a poskytnutí některých služeb s vysokým rizikem podvodů</w:t>
            </w:r>
          </w:p>
        </w:tc>
      </w:tr>
    </w:tbl>
    <w:p w:rsidR="00EE4DF0" w:rsidRDefault="00EE4DF0" w:rsidP="00EE4DF0">
      <w:pPr>
        <w:tabs>
          <w:tab w:val="left" w:pos="0"/>
        </w:tabs>
        <w:spacing w:after="200"/>
        <w:rPr>
          <w:rFonts w:eastAsia="Calibri"/>
          <w:bCs/>
          <w:szCs w:val="24"/>
          <w:lang w:eastAsia="en-US"/>
        </w:rPr>
      </w:pPr>
    </w:p>
    <w:p w:rsidR="00EE4DF0" w:rsidRDefault="00EE4DF0" w:rsidP="000C1376">
      <w:pPr>
        <w:tabs>
          <w:tab w:val="left" w:pos="0"/>
        </w:tabs>
        <w:spacing w:after="200"/>
      </w:pPr>
      <w:r w:rsidRPr="00EE4DF0">
        <w:rPr>
          <w:rFonts w:eastAsia="Calibri"/>
          <w:bCs/>
          <w:szCs w:val="24"/>
          <w:lang w:eastAsia="en-US"/>
        </w:rPr>
        <w:t>Navrhovaná</w:t>
      </w:r>
      <w:r w:rsidRPr="006D3B81">
        <w:t xml:space="preserve"> </w:t>
      </w:r>
      <w:r w:rsidR="00D02E14">
        <w:t>právní úprava</w:t>
      </w:r>
      <w:r w:rsidRPr="006D3B81">
        <w:t xml:space="preserve"> je plně slučitelná s právními akty </w:t>
      </w:r>
      <w:r w:rsidR="006D3712">
        <w:t>EU</w:t>
      </w:r>
      <w:r w:rsidRPr="006D3B81">
        <w:t xml:space="preserve">, s judikaturou soudních orgánů </w:t>
      </w:r>
      <w:r w:rsidR="006D3712">
        <w:t>EU</w:t>
      </w:r>
      <w:r w:rsidRPr="006D3B81">
        <w:t xml:space="preserve"> a s obecnými právními zásadami práva </w:t>
      </w:r>
      <w:r w:rsidR="006D3712">
        <w:t>EU</w:t>
      </w:r>
      <w:r w:rsidRPr="006D3B81">
        <w:t>.</w:t>
      </w:r>
    </w:p>
    <w:p w:rsidR="00D02E14" w:rsidRPr="007D4BC3" w:rsidRDefault="00D02E14" w:rsidP="007D4BC3">
      <w:pPr>
        <w:pStyle w:val="Nadpis2"/>
        <w:keepNext w:val="0"/>
        <w:numPr>
          <w:ilvl w:val="1"/>
          <w:numId w:val="47"/>
        </w:numPr>
        <w:shd w:val="clear" w:color="auto" w:fill="FFFFFF"/>
        <w:jc w:val="both"/>
        <w:rPr>
          <w:b w:val="0"/>
          <w:bCs w:val="0"/>
          <w:szCs w:val="24"/>
        </w:rPr>
      </w:pPr>
      <w:r w:rsidRPr="007D4BC3">
        <w:rPr>
          <w:sz w:val="24"/>
          <w:szCs w:val="24"/>
        </w:rPr>
        <w:t>Předpokládaný hospodářský a finanční dosah navrhované právní úpravy</w:t>
      </w:r>
      <w:r w:rsidR="009B0CE5" w:rsidRPr="00681C11">
        <w:rPr>
          <w:sz w:val="24"/>
          <w:szCs w:val="24"/>
        </w:rPr>
        <w:t>, sociální dopady a dopady na životní prostředí</w:t>
      </w:r>
    </w:p>
    <w:p w:rsidR="00D02E14" w:rsidRDefault="00E76C2C" w:rsidP="00D02E14">
      <w:pPr>
        <w:tabs>
          <w:tab w:val="left" w:pos="0"/>
        </w:tabs>
        <w:spacing w:before="120" w:after="200"/>
      </w:pPr>
      <w:r>
        <w:rPr>
          <w:rFonts w:eastAsia="Calibri"/>
          <w:bCs/>
          <w:szCs w:val="24"/>
          <w:lang w:eastAsia="en-US"/>
        </w:rPr>
        <w:t>V důsledku výrazného omezení prostoru pro daňové podvody na DPH p</w:t>
      </w:r>
      <w:r w:rsidR="00D02E14" w:rsidRPr="00D02E14">
        <w:rPr>
          <w:rFonts w:eastAsia="Calibri"/>
          <w:bCs/>
          <w:szCs w:val="24"/>
          <w:lang w:eastAsia="en-US"/>
        </w:rPr>
        <w:t>ředpokládáme</w:t>
      </w:r>
      <w:r w:rsidR="00D02E14" w:rsidRPr="001B3817">
        <w:t xml:space="preserve"> pozitivní dopad na inkaso, který však nelze přesně kvantifikovat.</w:t>
      </w:r>
    </w:p>
    <w:p w:rsidR="00631F83" w:rsidRDefault="00B6439D" w:rsidP="00631F83">
      <w:pPr>
        <w:tabs>
          <w:tab w:val="left" w:pos="0"/>
        </w:tabs>
        <w:spacing w:before="120" w:after="200"/>
      </w:pPr>
      <w:r>
        <w:t xml:space="preserve">Navrhovaná právní úprava nemá </w:t>
      </w:r>
      <w:r w:rsidR="0078111A">
        <w:t xml:space="preserve">bezprostředně </w:t>
      </w:r>
      <w:r>
        <w:t xml:space="preserve">žádné sociální dopady, dopady na specifické skupiny obyvatel, osoby sociálně slabé, osoby se zdravotním postižením či národnostní menšiny, </w:t>
      </w:r>
      <w:r w:rsidR="007D13F2">
        <w:t>ani</w:t>
      </w:r>
      <w:r>
        <w:t xml:space="preserve"> dopady na životní prostředí</w:t>
      </w:r>
      <w:r w:rsidR="007D13F2">
        <w:t>.</w:t>
      </w:r>
    </w:p>
    <w:p w:rsidR="00A20CF3" w:rsidRPr="007D4BC3" w:rsidRDefault="00A20CF3" w:rsidP="007D4BC3">
      <w:pPr>
        <w:pStyle w:val="Nadpis2"/>
        <w:keepNext w:val="0"/>
        <w:numPr>
          <w:ilvl w:val="1"/>
          <w:numId w:val="47"/>
        </w:numPr>
        <w:shd w:val="clear" w:color="auto" w:fill="FFFFFF"/>
        <w:jc w:val="both"/>
        <w:rPr>
          <w:b w:val="0"/>
          <w:szCs w:val="24"/>
        </w:rPr>
      </w:pPr>
      <w:r w:rsidRPr="007D4BC3">
        <w:rPr>
          <w:sz w:val="24"/>
          <w:szCs w:val="24"/>
        </w:rPr>
        <w:t>Zhodnocení současného stavu a dopadů navrhovaného řešení ve vztahu k </w:t>
      </w:r>
      <w:r w:rsidR="009B0CE5" w:rsidRPr="00681C11">
        <w:rPr>
          <w:sz w:val="24"/>
          <w:szCs w:val="24"/>
        </w:rPr>
        <w:t>zákazu diskriminace</w:t>
      </w:r>
    </w:p>
    <w:p w:rsidR="00267DF2" w:rsidRDefault="007D13F2" w:rsidP="007D13F2">
      <w:pPr>
        <w:tabs>
          <w:tab w:val="left" w:pos="0"/>
        </w:tabs>
        <w:spacing w:before="120" w:after="200"/>
      </w:pPr>
      <w:r>
        <w:t xml:space="preserve">Navrhovaná právní úprava nemá žádné dopady </w:t>
      </w:r>
      <w:r w:rsidRPr="006D3B81">
        <w:t>ve vztahu k zákazu diskriminace</w:t>
      </w:r>
      <w:r w:rsidR="00267DF2">
        <w:t>.</w:t>
      </w:r>
    </w:p>
    <w:p w:rsidR="009B0CE5" w:rsidRPr="00681C11" w:rsidRDefault="009B0CE5" w:rsidP="009B0CE5">
      <w:pPr>
        <w:pStyle w:val="Nadpis2"/>
        <w:keepNext w:val="0"/>
        <w:numPr>
          <w:ilvl w:val="1"/>
          <w:numId w:val="47"/>
        </w:numPr>
        <w:shd w:val="clear" w:color="auto" w:fill="FFFFFF"/>
        <w:jc w:val="both"/>
        <w:rPr>
          <w:sz w:val="24"/>
          <w:szCs w:val="24"/>
        </w:rPr>
      </w:pPr>
      <w:r w:rsidRPr="00681C11">
        <w:rPr>
          <w:sz w:val="24"/>
          <w:szCs w:val="24"/>
        </w:rPr>
        <w:t>Zhodnocení dopadů navrhovaného řešení ve vztahu k ochraně soukromí a osobních údajů</w:t>
      </w:r>
    </w:p>
    <w:p w:rsidR="009B0CE5" w:rsidRPr="00747A80" w:rsidRDefault="009B0CE5" w:rsidP="009B0CE5">
      <w:pPr>
        <w:pStyle w:val="Odstavecseseznamem"/>
        <w:spacing w:after="120"/>
        <w:ind w:left="0"/>
      </w:pPr>
      <w:r w:rsidRPr="00747A80">
        <w:t>Navrhovaná úprava je v souladu s ochranou soukromí a osobních údajů.</w:t>
      </w:r>
      <w:r>
        <w:t xml:space="preserve"> K tomuto lze uvést, že p</w:t>
      </w:r>
      <w:r w:rsidRPr="00747A80">
        <w:t>ři správě daní se uplatňuje zásada neveřejnosti. Informace o poměrech daňových subjektů jsou tak chráněny povinností mlčenlivosti pod hrozbou pokuty do výše 500 000 Kč a</w:t>
      </w:r>
      <w:r>
        <w:t> </w:t>
      </w:r>
      <w:r w:rsidRPr="00747A80">
        <w:t>nemohou být zpřístupněny veřejnosti.</w:t>
      </w:r>
    </w:p>
    <w:p w:rsidR="00267DF2" w:rsidRPr="007D4BC3" w:rsidRDefault="00267DF2" w:rsidP="007D4BC3">
      <w:pPr>
        <w:pStyle w:val="Nadpis2"/>
        <w:keepNext w:val="0"/>
        <w:numPr>
          <w:ilvl w:val="1"/>
          <w:numId w:val="47"/>
        </w:numPr>
        <w:shd w:val="clear" w:color="auto" w:fill="FFFFFF"/>
        <w:jc w:val="both"/>
        <w:rPr>
          <w:b w:val="0"/>
          <w:bCs w:val="0"/>
          <w:szCs w:val="24"/>
        </w:rPr>
      </w:pPr>
      <w:r w:rsidRPr="007D4BC3">
        <w:rPr>
          <w:sz w:val="24"/>
          <w:szCs w:val="24"/>
        </w:rPr>
        <w:t>Zhodnocení korupčních rizik</w:t>
      </w:r>
      <w:r w:rsidR="009B0CE5" w:rsidRPr="009B0CE5">
        <w:rPr>
          <w:sz w:val="24"/>
          <w:szCs w:val="24"/>
        </w:rPr>
        <w:t xml:space="preserve"> </w:t>
      </w:r>
      <w:r w:rsidR="009B0CE5" w:rsidRPr="00747A80">
        <w:rPr>
          <w:sz w:val="24"/>
          <w:szCs w:val="24"/>
        </w:rPr>
        <w:t>navrhovaného řešení (CIA)</w:t>
      </w:r>
    </w:p>
    <w:p w:rsidR="00780530" w:rsidRDefault="007664DC" w:rsidP="00780530">
      <w:pPr>
        <w:tabs>
          <w:tab w:val="left" w:pos="0"/>
        </w:tabs>
        <w:spacing w:before="120" w:after="200"/>
        <w:rPr>
          <w:szCs w:val="24"/>
        </w:rPr>
      </w:pPr>
      <w:r w:rsidRPr="007664DC">
        <w:rPr>
          <w:szCs w:val="24"/>
        </w:rPr>
        <w:t>Obecně lze k navrhované úpravě ve vztahu ke vzniku korupčních rizik uvést</w:t>
      </w:r>
      <w:r w:rsidR="00494AD3">
        <w:rPr>
          <w:szCs w:val="24"/>
        </w:rPr>
        <w:t>, že n</w:t>
      </w:r>
      <w:r w:rsidR="00780530" w:rsidRPr="006D3B81">
        <w:rPr>
          <w:szCs w:val="24"/>
        </w:rPr>
        <w:t xml:space="preserve">avržená právní úprava </w:t>
      </w:r>
      <w:r w:rsidR="00780530">
        <w:rPr>
          <w:szCs w:val="24"/>
        </w:rPr>
        <w:t>ne</w:t>
      </w:r>
      <w:r w:rsidR="00780530" w:rsidRPr="006D3B81">
        <w:rPr>
          <w:szCs w:val="24"/>
        </w:rPr>
        <w:t>mění kompetence správních orgánů</w:t>
      </w:r>
      <w:r w:rsidR="00494AD3">
        <w:rPr>
          <w:szCs w:val="24"/>
        </w:rPr>
        <w:t xml:space="preserve"> a že p</w:t>
      </w:r>
      <w:r w:rsidR="00780530">
        <w:rPr>
          <w:szCs w:val="24"/>
        </w:rPr>
        <w:t xml:space="preserve">ráva a povinnosti </w:t>
      </w:r>
      <w:r w:rsidR="00780530" w:rsidRPr="006D3B81">
        <w:rPr>
          <w:szCs w:val="24"/>
        </w:rPr>
        <w:t>daňových subjektů, vůči nimž regulace směřuje</w:t>
      </w:r>
      <w:r w:rsidR="00780530">
        <w:rPr>
          <w:szCs w:val="24"/>
        </w:rPr>
        <w:t>, jsou</w:t>
      </w:r>
      <w:r w:rsidR="00780530" w:rsidRPr="006D3B81">
        <w:rPr>
          <w:szCs w:val="24"/>
        </w:rPr>
        <w:t xml:space="preserve"> stanovovány na principu rovnosti.</w:t>
      </w:r>
      <w:r w:rsidR="009B0CE5" w:rsidRPr="009B0CE5">
        <w:t xml:space="preserve"> </w:t>
      </w:r>
      <w:r w:rsidR="00870711">
        <w:t>U </w:t>
      </w:r>
      <w:r w:rsidR="009B0CE5" w:rsidRPr="008B5BAD">
        <w:t>navrhované</w:t>
      </w:r>
      <w:r w:rsidR="00BD5DC6">
        <w:t>ho</w:t>
      </w:r>
      <w:r w:rsidR="009B0CE5" w:rsidRPr="008B5BAD">
        <w:t xml:space="preserve"> </w:t>
      </w:r>
      <w:r w:rsidR="00BD5DC6">
        <w:t xml:space="preserve">nařízení vlády </w:t>
      </w:r>
      <w:r w:rsidR="009B0CE5" w:rsidRPr="008B5BAD">
        <w:t>je možné ve vztahu ke vzn</w:t>
      </w:r>
      <w:r w:rsidR="00870711">
        <w:t>iku korupčních rizik odkázat na </w:t>
      </w:r>
      <w:r w:rsidR="009B0CE5" w:rsidRPr="008B5BAD">
        <w:t>důvodovou zprávu k</w:t>
      </w:r>
      <w:r w:rsidR="009B0CE5">
        <w:t> řádné novele zákona o dan</w:t>
      </w:r>
      <w:r w:rsidR="00BD5DC6">
        <w:t>i z přidané hodnoty</w:t>
      </w:r>
      <w:r w:rsidR="009B0CE5" w:rsidRPr="008B5BAD">
        <w:t>.</w:t>
      </w:r>
    </w:p>
    <w:p w:rsidR="00E95DE1" w:rsidRDefault="00E95DE1" w:rsidP="00E95DE1">
      <w:pPr>
        <w:pStyle w:val="Nadpis2"/>
        <w:keepNext w:val="0"/>
        <w:numPr>
          <w:ilvl w:val="1"/>
          <w:numId w:val="47"/>
        </w:numPr>
        <w:shd w:val="clear" w:color="auto" w:fill="FFFFFF"/>
        <w:jc w:val="both"/>
        <w:rPr>
          <w:sz w:val="24"/>
          <w:szCs w:val="24"/>
        </w:rPr>
      </w:pPr>
      <w:r w:rsidRPr="00C24640">
        <w:rPr>
          <w:sz w:val="24"/>
          <w:szCs w:val="24"/>
        </w:rPr>
        <w:t>Závěrečná zpráva z hodnocení dopadů regulace</w:t>
      </w:r>
      <w:r>
        <w:rPr>
          <w:sz w:val="24"/>
          <w:szCs w:val="24"/>
        </w:rPr>
        <w:t xml:space="preserve"> (RIA)</w:t>
      </w:r>
    </w:p>
    <w:p w:rsidR="00E95DE1" w:rsidRDefault="00E95DE1" w:rsidP="00E95DE1">
      <w:pPr>
        <w:pStyle w:val="Odstavecseseznamem"/>
        <w:spacing w:after="120"/>
        <w:ind w:left="0"/>
      </w:pPr>
      <w:r w:rsidRPr="00747A80">
        <w:t>Hodnocení dopadů regulace (RIA) nebylo zpracováno</w:t>
      </w:r>
      <w:r>
        <w:t xml:space="preserve"> v souladu </w:t>
      </w:r>
      <w:r w:rsidR="00572F04">
        <w:t xml:space="preserve">s </w:t>
      </w:r>
      <w:r w:rsidR="001E0BFE">
        <w:t>Plánem legislativních prací vlády na zbývající část roku 2014 schváleným usnesením vlády ze dne 12. března 2014 č. 165</w:t>
      </w:r>
      <w:r w:rsidRPr="00747A80">
        <w:t>.</w:t>
      </w:r>
    </w:p>
    <w:p w:rsidR="001E0BFE" w:rsidRDefault="001E0BFE">
      <w:pPr>
        <w:jc w:val="left"/>
        <w:rPr>
          <w:b/>
          <w:sz w:val="28"/>
          <w:szCs w:val="28"/>
        </w:rPr>
      </w:pPr>
      <w:r>
        <w:rPr>
          <w:b/>
          <w:sz w:val="28"/>
          <w:szCs w:val="28"/>
        </w:rPr>
        <w:br w:type="page"/>
      </w:r>
    </w:p>
    <w:p w:rsidR="00DB29A5" w:rsidRPr="006D3B81" w:rsidRDefault="00DB29A5" w:rsidP="00DB29A5">
      <w:pPr>
        <w:keepNext/>
        <w:spacing w:before="120"/>
        <w:jc w:val="center"/>
        <w:outlineLvl w:val="0"/>
        <w:rPr>
          <w:b/>
          <w:sz w:val="28"/>
          <w:szCs w:val="28"/>
        </w:rPr>
      </w:pPr>
      <w:r w:rsidRPr="006D3B81">
        <w:rPr>
          <w:b/>
          <w:sz w:val="28"/>
          <w:szCs w:val="28"/>
        </w:rPr>
        <w:lastRenderedPageBreak/>
        <w:t>II. Zvláštní část</w:t>
      </w:r>
    </w:p>
    <w:p w:rsidR="00DB29A5" w:rsidRDefault="00621842" w:rsidP="00870711">
      <w:pPr>
        <w:keepNext/>
        <w:tabs>
          <w:tab w:val="num" w:pos="709"/>
        </w:tabs>
        <w:suppressAutoHyphens/>
        <w:spacing w:before="240" w:after="120"/>
        <w:jc w:val="left"/>
        <w:outlineLvl w:val="0"/>
        <w:rPr>
          <w:b/>
          <w:szCs w:val="24"/>
        </w:rPr>
      </w:pPr>
      <w:r w:rsidRPr="00621842">
        <w:rPr>
          <w:b/>
          <w:szCs w:val="24"/>
        </w:rPr>
        <w:t xml:space="preserve">K </w:t>
      </w:r>
      <w:r>
        <w:rPr>
          <w:b/>
          <w:szCs w:val="24"/>
        </w:rPr>
        <w:t xml:space="preserve">§ 1 </w:t>
      </w:r>
      <w:r w:rsidR="00C270A2">
        <w:rPr>
          <w:b/>
          <w:szCs w:val="24"/>
        </w:rPr>
        <w:t>(p</w:t>
      </w:r>
      <w:r w:rsidR="00C270A2" w:rsidRPr="00C270A2">
        <w:rPr>
          <w:b/>
          <w:szCs w:val="24"/>
        </w:rPr>
        <w:t>ředmět úpravy</w:t>
      </w:r>
      <w:r w:rsidR="00C270A2">
        <w:rPr>
          <w:b/>
          <w:szCs w:val="24"/>
        </w:rPr>
        <w:t>)</w:t>
      </w:r>
    </w:p>
    <w:p w:rsidR="003023EE" w:rsidRDefault="003023EE" w:rsidP="003023EE">
      <w:pPr>
        <w:tabs>
          <w:tab w:val="left" w:pos="0"/>
        </w:tabs>
        <w:spacing w:after="120"/>
        <w:rPr>
          <w:szCs w:val="24"/>
        </w:rPr>
      </w:pPr>
      <w:r>
        <w:rPr>
          <w:szCs w:val="24"/>
        </w:rPr>
        <w:t>Na základě z</w:t>
      </w:r>
      <w:r w:rsidRPr="002E1770">
        <w:rPr>
          <w:szCs w:val="24"/>
        </w:rPr>
        <w:t>mocňovací</w:t>
      </w:r>
      <w:r>
        <w:rPr>
          <w:szCs w:val="24"/>
        </w:rPr>
        <w:t>ho oprávnění v § 92f zákona o DPH,</w:t>
      </w:r>
      <w:r w:rsidRPr="00234BF7">
        <w:rPr>
          <w:szCs w:val="24"/>
        </w:rPr>
        <w:t xml:space="preserve"> </w:t>
      </w:r>
      <w:r w:rsidR="00870711">
        <w:rPr>
          <w:szCs w:val="24"/>
        </w:rPr>
        <w:t>ve znění účinném od </w:t>
      </w:r>
      <w:r>
        <w:rPr>
          <w:szCs w:val="24"/>
        </w:rPr>
        <w:t xml:space="preserve">1. ledna 2015, se stanoví konkrétní kategorie zboží </w:t>
      </w:r>
      <w:r w:rsidR="00870711">
        <w:rPr>
          <w:szCs w:val="24"/>
        </w:rPr>
        <w:t>a služeb, při jejichž dodání či </w:t>
      </w:r>
      <w:r>
        <w:rPr>
          <w:szCs w:val="24"/>
        </w:rPr>
        <w:t xml:space="preserve">poskytnutí se použije režim přenesení daňové povinnosti (viz § 92a a násl. zákona o DPH).  </w:t>
      </w:r>
    </w:p>
    <w:p w:rsidR="003023EE" w:rsidRDefault="003023EE" w:rsidP="003023EE">
      <w:pPr>
        <w:tabs>
          <w:tab w:val="left" w:pos="0"/>
        </w:tabs>
        <w:spacing w:after="120"/>
        <w:rPr>
          <w:szCs w:val="24"/>
        </w:rPr>
      </w:pPr>
      <w:r>
        <w:rPr>
          <w:szCs w:val="24"/>
        </w:rPr>
        <w:t xml:space="preserve">Ve všech navrhovaných případech se jedná o kategorie zboží </w:t>
      </w:r>
      <w:r w:rsidR="00870711">
        <w:rPr>
          <w:szCs w:val="24"/>
        </w:rPr>
        <w:t>a služeb, při jejichž dodání či </w:t>
      </w:r>
      <w:r>
        <w:rPr>
          <w:szCs w:val="24"/>
        </w:rPr>
        <w:t>poskytnutí v ČR byly zjištěny daňové podvody při obchodování v řetězci. Většina okolních členských států při poskytnutí těchto plnění režim přenesení daňové povinnosti také zavedla, popř. zavádí.</w:t>
      </w:r>
    </w:p>
    <w:p w:rsidR="003023EE" w:rsidRDefault="003023EE" w:rsidP="003023EE">
      <w:pPr>
        <w:tabs>
          <w:tab w:val="left" w:pos="0"/>
        </w:tabs>
        <w:spacing w:after="120"/>
        <w:rPr>
          <w:szCs w:val="24"/>
        </w:rPr>
      </w:pPr>
      <w:r>
        <w:rPr>
          <w:szCs w:val="24"/>
        </w:rPr>
        <w:t xml:space="preserve">Také se stanoví, že dochází k implementaci unijního práva, a to konkrétně směrnice Rady </w:t>
      </w:r>
      <w:r w:rsidRPr="003023EE">
        <w:rPr>
          <w:szCs w:val="24"/>
        </w:rPr>
        <w:t>2013/43/EU ze dne 22. července 2013, kterou se mění směrnice 2006/112/ES o společném systému daně z přidané hodnoty, pokud jde o volitelné a dočasné používání mechanismu přenesení daňové povinnosti ve vztahu k dodání některého zboží a poskytnutí některých služeb s vysokým rizikem podvodů</w:t>
      </w:r>
      <w:r>
        <w:rPr>
          <w:szCs w:val="24"/>
        </w:rPr>
        <w:t>.</w:t>
      </w:r>
    </w:p>
    <w:p w:rsidR="00C270A2" w:rsidRPr="00621842" w:rsidRDefault="00C270A2" w:rsidP="00870711">
      <w:pPr>
        <w:keepNext/>
        <w:tabs>
          <w:tab w:val="num" w:pos="709"/>
        </w:tabs>
        <w:suppressAutoHyphens/>
        <w:spacing w:before="240" w:after="120"/>
        <w:outlineLvl w:val="0"/>
        <w:rPr>
          <w:b/>
          <w:szCs w:val="24"/>
        </w:rPr>
      </w:pPr>
      <w:r w:rsidRPr="00621842">
        <w:rPr>
          <w:b/>
          <w:szCs w:val="24"/>
        </w:rPr>
        <w:t xml:space="preserve">K </w:t>
      </w:r>
      <w:r>
        <w:rPr>
          <w:b/>
          <w:szCs w:val="24"/>
        </w:rPr>
        <w:t>§ 2 (</w:t>
      </w:r>
      <w:r w:rsidRPr="00C270A2">
        <w:rPr>
          <w:b/>
          <w:szCs w:val="24"/>
        </w:rPr>
        <w:t>Stanovení dodání zboží nebo poskytnutí služeb uvedených v příloze č. 6 k zákonu o dani z přidané hodnoty pro uplatnění režimu přenesení daňové povinnosti</w:t>
      </w:r>
      <w:r>
        <w:rPr>
          <w:b/>
          <w:szCs w:val="24"/>
        </w:rPr>
        <w:t>)</w:t>
      </w:r>
    </w:p>
    <w:p w:rsidR="00C20AE8" w:rsidRPr="00870711" w:rsidRDefault="00C20AE8" w:rsidP="00870711">
      <w:pPr>
        <w:keepNext/>
        <w:tabs>
          <w:tab w:val="num" w:pos="709"/>
        </w:tabs>
        <w:suppressAutoHyphens/>
        <w:spacing w:after="120"/>
        <w:outlineLvl w:val="0"/>
        <w:rPr>
          <w:b/>
          <w:i/>
          <w:szCs w:val="24"/>
        </w:rPr>
      </w:pPr>
      <w:r w:rsidRPr="00870711">
        <w:rPr>
          <w:b/>
          <w:i/>
          <w:szCs w:val="24"/>
        </w:rPr>
        <w:t>Odstavec 1:</w:t>
      </w:r>
    </w:p>
    <w:p w:rsidR="00C20AE8" w:rsidRPr="003A3A09" w:rsidRDefault="00C20AE8" w:rsidP="00870711">
      <w:pPr>
        <w:tabs>
          <w:tab w:val="left" w:pos="0"/>
        </w:tabs>
        <w:spacing w:after="120"/>
        <w:rPr>
          <w:b/>
          <w:szCs w:val="24"/>
        </w:rPr>
      </w:pPr>
      <w:r w:rsidRPr="00CA0DCD">
        <w:rPr>
          <w:b/>
          <w:szCs w:val="24"/>
        </w:rPr>
        <w:t>K </w:t>
      </w:r>
      <w:proofErr w:type="gramStart"/>
      <w:r w:rsidRPr="00CA0DCD">
        <w:rPr>
          <w:b/>
          <w:szCs w:val="24"/>
        </w:rPr>
        <w:t>písm. a)</w:t>
      </w:r>
      <w:r w:rsidR="00A77CC1">
        <w:rPr>
          <w:b/>
          <w:szCs w:val="24"/>
        </w:rPr>
        <w:t xml:space="preserve"> </w:t>
      </w:r>
      <w:r>
        <w:rPr>
          <w:b/>
          <w:szCs w:val="24"/>
        </w:rPr>
        <w:t>(</w:t>
      </w:r>
      <w:r w:rsidRPr="003A3A09">
        <w:rPr>
          <w:b/>
          <w:szCs w:val="24"/>
        </w:rPr>
        <w:t>povolenky</w:t>
      </w:r>
      <w:proofErr w:type="gramEnd"/>
      <w:r w:rsidRPr="003A3A09">
        <w:rPr>
          <w:b/>
          <w:szCs w:val="24"/>
        </w:rPr>
        <w:t xml:space="preserve"> na emise skleníkových plynů)</w:t>
      </w:r>
    </w:p>
    <w:p w:rsidR="00C20AE8" w:rsidRDefault="00C20AE8" w:rsidP="00870711">
      <w:pPr>
        <w:tabs>
          <w:tab w:val="left" w:pos="0"/>
        </w:tabs>
        <w:spacing w:after="120"/>
        <w:rPr>
          <w:szCs w:val="24"/>
        </w:rPr>
      </w:pPr>
      <w:r>
        <w:rPr>
          <w:szCs w:val="24"/>
        </w:rPr>
        <w:t>Do písmene a) se přesouvá p</w:t>
      </w:r>
      <w:r w:rsidRPr="00CA0DCD">
        <w:rPr>
          <w:szCs w:val="24"/>
        </w:rPr>
        <w:t xml:space="preserve">ovinnost uplatňovat režim </w:t>
      </w:r>
      <w:r w:rsidR="00870711">
        <w:rPr>
          <w:szCs w:val="24"/>
        </w:rPr>
        <w:t>přenesení daňové povinnosti při </w:t>
      </w:r>
      <w:r>
        <w:rPr>
          <w:szCs w:val="24"/>
        </w:rPr>
        <w:t>poskytnutí (</w:t>
      </w:r>
      <w:r w:rsidRPr="00CA0DCD">
        <w:rPr>
          <w:szCs w:val="24"/>
        </w:rPr>
        <w:t>převodu</w:t>
      </w:r>
      <w:r>
        <w:rPr>
          <w:szCs w:val="24"/>
        </w:rPr>
        <w:t>)</w:t>
      </w:r>
      <w:r w:rsidRPr="00CA0DCD">
        <w:rPr>
          <w:szCs w:val="24"/>
        </w:rPr>
        <w:t xml:space="preserve"> povolenek na emise skleníkových plynů, která byla </w:t>
      </w:r>
      <w:r>
        <w:rPr>
          <w:szCs w:val="24"/>
        </w:rPr>
        <w:t xml:space="preserve">obsažena </w:t>
      </w:r>
      <w:r w:rsidRPr="00CA0DCD">
        <w:rPr>
          <w:szCs w:val="24"/>
        </w:rPr>
        <w:t>v § 92d</w:t>
      </w:r>
      <w:r>
        <w:rPr>
          <w:szCs w:val="24"/>
        </w:rPr>
        <w:t xml:space="preserve"> zákona o DPH, ve znění </w:t>
      </w:r>
      <w:r w:rsidR="00BD5DC6">
        <w:rPr>
          <w:szCs w:val="24"/>
        </w:rPr>
        <w:t xml:space="preserve">účinném </w:t>
      </w:r>
      <w:r>
        <w:rPr>
          <w:szCs w:val="24"/>
        </w:rPr>
        <w:t>do 31. </w:t>
      </w:r>
      <w:r w:rsidR="00BD5DC6">
        <w:rPr>
          <w:szCs w:val="24"/>
        </w:rPr>
        <w:t>prosince</w:t>
      </w:r>
      <w:r>
        <w:rPr>
          <w:szCs w:val="24"/>
        </w:rPr>
        <w:t xml:space="preserve"> 2014. </w:t>
      </w:r>
    </w:p>
    <w:p w:rsidR="00C20AE8" w:rsidRDefault="00C20AE8" w:rsidP="00870711">
      <w:pPr>
        <w:tabs>
          <w:tab w:val="left" w:pos="0"/>
        </w:tabs>
        <w:spacing w:after="120"/>
        <w:rPr>
          <w:szCs w:val="24"/>
        </w:rPr>
      </w:pPr>
      <w:r>
        <w:rPr>
          <w:szCs w:val="24"/>
        </w:rPr>
        <w:t xml:space="preserve">V příloze č. 6 zákona o DPH, ve znění </w:t>
      </w:r>
      <w:r w:rsidR="00BD5DC6">
        <w:rPr>
          <w:szCs w:val="24"/>
        </w:rPr>
        <w:t xml:space="preserve">účinném </w:t>
      </w:r>
      <w:r>
        <w:rPr>
          <w:szCs w:val="24"/>
        </w:rPr>
        <w:t>od 1. </w:t>
      </w:r>
      <w:r w:rsidR="00BD5DC6">
        <w:rPr>
          <w:szCs w:val="24"/>
        </w:rPr>
        <w:t>ledna</w:t>
      </w:r>
      <w:r w:rsidR="00870711">
        <w:rPr>
          <w:szCs w:val="24"/>
        </w:rPr>
        <w:t> 2015, je převod povolenek na </w:t>
      </w:r>
      <w:r>
        <w:rPr>
          <w:szCs w:val="24"/>
        </w:rPr>
        <w:t xml:space="preserve">emise skleníkových plynů obsažen v bodu 1. </w:t>
      </w:r>
    </w:p>
    <w:p w:rsidR="00C20AE8" w:rsidRPr="00CA0DCD" w:rsidRDefault="00C20AE8" w:rsidP="00870711">
      <w:pPr>
        <w:tabs>
          <w:tab w:val="left" w:pos="0"/>
        </w:tabs>
        <w:spacing w:after="120"/>
        <w:rPr>
          <w:b/>
          <w:szCs w:val="24"/>
        </w:rPr>
      </w:pPr>
      <w:r w:rsidRPr="00CA0DCD">
        <w:rPr>
          <w:b/>
          <w:szCs w:val="24"/>
        </w:rPr>
        <w:t>K </w:t>
      </w:r>
      <w:proofErr w:type="gramStart"/>
      <w:r w:rsidRPr="00CA0DCD">
        <w:rPr>
          <w:b/>
          <w:szCs w:val="24"/>
        </w:rPr>
        <w:t>písm. </w:t>
      </w:r>
      <w:r>
        <w:rPr>
          <w:b/>
          <w:szCs w:val="24"/>
        </w:rPr>
        <w:t>b</w:t>
      </w:r>
      <w:r w:rsidRPr="00CA0DCD">
        <w:rPr>
          <w:b/>
          <w:szCs w:val="24"/>
        </w:rPr>
        <w:t>)</w:t>
      </w:r>
      <w:r>
        <w:rPr>
          <w:b/>
          <w:szCs w:val="24"/>
        </w:rPr>
        <w:t xml:space="preserve"> (</w:t>
      </w:r>
      <w:r w:rsidRPr="00BE6EBB">
        <w:rPr>
          <w:b/>
          <w:szCs w:val="24"/>
        </w:rPr>
        <w:t>obiloviny</w:t>
      </w:r>
      <w:proofErr w:type="gramEnd"/>
      <w:r w:rsidRPr="00BE6EBB">
        <w:rPr>
          <w:b/>
          <w:szCs w:val="24"/>
        </w:rPr>
        <w:t xml:space="preserve"> a technické plodiny)</w:t>
      </w:r>
    </w:p>
    <w:p w:rsidR="00C20AE8" w:rsidRDefault="00C20AE8" w:rsidP="00870711">
      <w:pPr>
        <w:tabs>
          <w:tab w:val="left" w:pos="0"/>
        </w:tabs>
        <w:spacing w:after="120"/>
      </w:pPr>
      <w:r>
        <w:t xml:space="preserve">Dodání obilovin a technických plodin, včetně olejnatých semen a cukrové řepy je uvedeno v bodu 8 přílohy č. 6 </w:t>
      </w:r>
      <w:r>
        <w:rPr>
          <w:szCs w:val="24"/>
        </w:rPr>
        <w:t xml:space="preserve">zákona o DPH, ve znění </w:t>
      </w:r>
      <w:r w:rsidR="00BD5DC6">
        <w:rPr>
          <w:szCs w:val="24"/>
        </w:rPr>
        <w:t xml:space="preserve">účinném </w:t>
      </w:r>
      <w:r>
        <w:rPr>
          <w:szCs w:val="24"/>
        </w:rPr>
        <w:t>od 1. </w:t>
      </w:r>
      <w:r w:rsidR="00BD5DC6">
        <w:rPr>
          <w:szCs w:val="24"/>
        </w:rPr>
        <w:t>ledna</w:t>
      </w:r>
      <w:r>
        <w:rPr>
          <w:szCs w:val="24"/>
        </w:rPr>
        <w:t> 2015.</w:t>
      </w:r>
    </w:p>
    <w:p w:rsidR="00C20AE8" w:rsidRPr="00CA0DCD" w:rsidRDefault="00C20AE8" w:rsidP="00870711">
      <w:pPr>
        <w:tabs>
          <w:tab w:val="left" w:pos="0"/>
        </w:tabs>
        <w:spacing w:after="120"/>
        <w:rPr>
          <w:szCs w:val="24"/>
        </w:rPr>
      </w:pPr>
      <w:r>
        <w:t xml:space="preserve">Podle analýz vypracovaných </w:t>
      </w:r>
      <w:r>
        <w:rPr>
          <w:szCs w:val="24"/>
        </w:rPr>
        <w:t xml:space="preserve">Finanční správou ČR u obilovin a technických plodin </w:t>
      </w:r>
      <w:r w:rsidRPr="00A0032D">
        <w:t>dochází v tuzemsku k daňovým podvodům jednak z důvodu špatné identifikace konkrétních dodávek</w:t>
      </w:r>
      <w:r>
        <w:t xml:space="preserve">, a jednak </w:t>
      </w:r>
      <w:r w:rsidRPr="00A0032D">
        <w:t>z důvodu skutečnosti, že uváděné komodity se v ČR produkují a zpracovávaj</w:t>
      </w:r>
      <w:r w:rsidR="00870711">
        <w:t>í ve </w:t>
      </w:r>
      <w:r w:rsidRPr="00A0032D">
        <w:t xml:space="preserve">značném </w:t>
      </w:r>
      <w:r>
        <w:t>rozsahu</w:t>
      </w:r>
      <w:r w:rsidRPr="00A0032D">
        <w:t xml:space="preserve"> (ČR je například jedním z nejvýznamnějších producentů máku na světě). </w:t>
      </w:r>
      <w:r>
        <w:t>V současné době jsou p</w:t>
      </w:r>
      <w:r w:rsidRPr="00A0032D">
        <w:t xml:space="preserve">odvody s těmito komoditami </w:t>
      </w:r>
      <w:r>
        <w:t xml:space="preserve">šetřeny také na základě </w:t>
      </w:r>
      <w:r w:rsidR="00870711">
        <w:t>oznámení od </w:t>
      </w:r>
      <w:r w:rsidRPr="00A0032D">
        <w:t xml:space="preserve">Policie ČR o prošetřování společností, u kterých vzniklo důvodné podezření, že jsou zapojeny do obchodování se zemědělskými plodinami, převážně mákem, v řetězci propojených </w:t>
      </w:r>
      <w:r>
        <w:t>společností</w:t>
      </w:r>
      <w:r w:rsidRPr="00A0032D">
        <w:t xml:space="preserve"> za účelem praní špinavých peněz, popřípadě další trestné činnosti. </w:t>
      </w:r>
      <w:r>
        <w:rPr>
          <w:szCs w:val="24"/>
        </w:rPr>
        <w:t xml:space="preserve">  </w:t>
      </w:r>
    </w:p>
    <w:p w:rsidR="00C20AE8" w:rsidRPr="00F45079" w:rsidRDefault="00C20AE8" w:rsidP="00870711">
      <w:pPr>
        <w:tabs>
          <w:tab w:val="left" w:pos="0"/>
        </w:tabs>
        <w:spacing w:after="120"/>
        <w:rPr>
          <w:b/>
          <w:szCs w:val="24"/>
        </w:rPr>
      </w:pPr>
      <w:r w:rsidRPr="00CA0DCD">
        <w:rPr>
          <w:b/>
          <w:szCs w:val="24"/>
        </w:rPr>
        <w:t>K </w:t>
      </w:r>
      <w:proofErr w:type="gramStart"/>
      <w:r w:rsidRPr="00CA0DCD">
        <w:rPr>
          <w:b/>
          <w:szCs w:val="24"/>
        </w:rPr>
        <w:t>písm.</w:t>
      </w:r>
      <w:r>
        <w:rPr>
          <w:b/>
          <w:szCs w:val="24"/>
        </w:rPr>
        <w:t xml:space="preserve"> c</w:t>
      </w:r>
      <w:r w:rsidRPr="00CA0DCD">
        <w:rPr>
          <w:b/>
          <w:szCs w:val="24"/>
        </w:rPr>
        <w:t>)</w:t>
      </w:r>
      <w:r>
        <w:rPr>
          <w:b/>
          <w:szCs w:val="24"/>
        </w:rPr>
        <w:t xml:space="preserve"> </w:t>
      </w:r>
      <w:r w:rsidRPr="00F45079">
        <w:rPr>
          <w:b/>
          <w:szCs w:val="24"/>
        </w:rPr>
        <w:t>(surové</w:t>
      </w:r>
      <w:proofErr w:type="gramEnd"/>
      <w:r w:rsidRPr="00F45079">
        <w:rPr>
          <w:b/>
          <w:szCs w:val="24"/>
        </w:rPr>
        <w:t xml:space="preserve"> či </w:t>
      </w:r>
      <w:proofErr w:type="spellStart"/>
      <w:r w:rsidRPr="00F45079">
        <w:rPr>
          <w:b/>
          <w:szCs w:val="24"/>
        </w:rPr>
        <w:t>polozpracované</w:t>
      </w:r>
      <w:proofErr w:type="spellEnd"/>
      <w:r w:rsidRPr="00F45079">
        <w:rPr>
          <w:b/>
          <w:szCs w:val="24"/>
        </w:rPr>
        <w:t xml:space="preserve"> kovy)</w:t>
      </w:r>
    </w:p>
    <w:p w:rsidR="00C20AE8" w:rsidRDefault="00C20AE8" w:rsidP="00870711">
      <w:pPr>
        <w:spacing w:after="120"/>
      </w:pPr>
      <w:r>
        <w:rPr>
          <w:bCs/>
          <w:szCs w:val="24"/>
        </w:rPr>
        <w:t xml:space="preserve">Rovněž u těchto komodit prokazatelně dochází k daňovým únikům. Existují signály (opírající se o údaje </w:t>
      </w:r>
      <w:proofErr w:type="spellStart"/>
      <w:r>
        <w:rPr>
          <w:bCs/>
          <w:szCs w:val="24"/>
        </w:rPr>
        <w:t>Intrastatu</w:t>
      </w:r>
      <w:proofErr w:type="spellEnd"/>
      <w:r>
        <w:rPr>
          <w:bCs/>
          <w:szCs w:val="24"/>
        </w:rPr>
        <w:t xml:space="preserve"> a </w:t>
      </w:r>
      <w:proofErr w:type="spellStart"/>
      <w:r>
        <w:rPr>
          <w:bCs/>
          <w:szCs w:val="24"/>
        </w:rPr>
        <w:t>Eurostatu</w:t>
      </w:r>
      <w:proofErr w:type="spellEnd"/>
      <w:r>
        <w:rPr>
          <w:bCs/>
          <w:szCs w:val="24"/>
        </w:rPr>
        <w:t xml:space="preserve">), které lze </w:t>
      </w:r>
      <w:r w:rsidRPr="00A0174C">
        <w:t xml:space="preserve">považovat za určitý indikátor rizika, že některá deklarovaná odeslání </w:t>
      </w:r>
      <w:r>
        <w:t>určitých kovů</w:t>
      </w:r>
      <w:r w:rsidRPr="00A0174C">
        <w:t xml:space="preserve"> z ČR mohou být pouze fiktivními obchodními operacemi</w:t>
      </w:r>
      <w:r>
        <w:t xml:space="preserve">. </w:t>
      </w:r>
    </w:p>
    <w:p w:rsidR="00C20AE8" w:rsidRDefault="00C20AE8" w:rsidP="00870711">
      <w:pPr>
        <w:spacing w:after="120"/>
        <w:rPr>
          <w:bCs/>
          <w:szCs w:val="24"/>
        </w:rPr>
      </w:pPr>
      <w:r>
        <w:rPr>
          <w:bCs/>
          <w:szCs w:val="24"/>
        </w:rPr>
        <w:t xml:space="preserve">Zařazení určitých kovů do seznamu zboží, při jehož dodání v tuzemsku se uplatňuje režim přenesení daňové povinnosti, požaduje také daňová veřejnost, asociace a zájmové svazy, a to z důvodu </w:t>
      </w:r>
      <w:r w:rsidRPr="00C9759F">
        <w:rPr>
          <w:bCs/>
          <w:szCs w:val="24"/>
        </w:rPr>
        <w:t xml:space="preserve">narušení trhu </w:t>
      </w:r>
      <w:r>
        <w:rPr>
          <w:bCs/>
          <w:szCs w:val="24"/>
        </w:rPr>
        <w:t>v důsledku</w:t>
      </w:r>
      <w:r w:rsidRPr="00C9759F">
        <w:rPr>
          <w:bCs/>
          <w:szCs w:val="24"/>
        </w:rPr>
        <w:t xml:space="preserve"> existenc</w:t>
      </w:r>
      <w:r>
        <w:rPr>
          <w:bCs/>
          <w:szCs w:val="24"/>
        </w:rPr>
        <w:t>e</w:t>
      </w:r>
      <w:r w:rsidRPr="00C9759F">
        <w:rPr>
          <w:bCs/>
          <w:szCs w:val="24"/>
        </w:rPr>
        <w:t xml:space="preserve"> podvodných obchodů</w:t>
      </w:r>
      <w:r>
        <w:rPr>
          <w:bCs/>
          <w:szCs w:val="24"/>
        </w:rPr>
        <w:t xml:space="preserve"> s kovy.</w:t>
      </w:r>
    </w:p>
    <w:p w:rsidR="00C20AE8" w:rsidRDefault="00C20AE8" w:rsidP="00870711">
      <w:pPr>
        <w:spacing w:after="120"/>
        <w:rPr>
          <w:szCs w:val="24"/>
        </w:rPr>
      </w:pPr>
      <w:r>
        <w:lastRenderedPageBreak/>
        <w:t xml:space="preserve">Dodání kovů spadá do bodu 9 přílohy č. 6 </w:t>
      </w:r>
      <w:r>
        <w:rPr>
          <w:szCs w:val="24"/>
        </w:rPr>
        <w:t xml:space="preserve">zákona o DPH, ve znění </w:t>
      </w:r>
      <w:r w:rsidR="00BD5DC6">
        <w:rPr>
          <w:szCs w:val="24"/>
        </w:rPr>
        <w:t xml:space="preserve">účinném </w:t>
      </w:r>
      <w:r>
        <w:rPr>
          <w:szCs w:val="24"/>
        </w:rPr>
        <w:t>od 1. </w:t>
      </w:r>
      <w:r w:rsidR="00BD5DC6">
        <w:rPr>
          <w:szCs w:val="24"/>
        </w:rPr>
        <w:t>ledna</w:t>
      </w:r>
      <w:r>
        <w:rPr>
          <w:szCs w:val="24"/>
        </w:rPr>
        <w:t xml:space="preserve"> 2015. Z aplikace režimu přenesení daňové povinnosti jsou v tomto případě ve smyslu znění bodu 9 přílohy č. 6 zákona o DPH vyjmuty případy, kdy na dodání těchto kovů se vztahuje zvláštní režim pro obchodníky s použitým zbožím, uměleckými díly, sběratelskými předměty a starožitnostmi podle § 90 </w:t>
      </w:r>
      <w:r w:rsidRPr="00870711">
        <w:rPr>
          <w:szCs w:val="24"/>
        </w:rPr>
        <w:t>zákona o DPH a s výjimkou drahých kovů uvedených v příloze č. 5 k zákonu o DPH podle § 92c.</w:t>
      </w:r>
    </w:p>
    <w:p w:rsidR="00C20AE8" w:rsidRDefault="00C20AE8" w:rsidP="00870711">
      <w:pPr>
        <w:spacing w:after="120"/>
        <w:rPr>
          <w:szCs w:val="24"/>
        </w:rPr>
      </w:pPr>
      <w:r>
        <w:rPr>
          <w:szCs w:val="24"/>
        </w:rPr>
        <w:t xml:space="preserve">Z výše uvedeného tedy vyplývá, že do této položky spadají takové kovy, které jsou uvedeny v kapitole 71 a třídy XV nomenklatury celního sazebníku popisu číselného označení, ale mimo konkrétně vyjmenované položky, tj. </w:t>
      </w:r>
      <w:r w:rsidRPr="004D72F9">
        <w:rPr>
          <w:szCs w:val="24"/>
        </w:rPr>
        <w:t>7113 – šperky a klenoty, 7114- zlatnické nebo stříbrné zboží, 7115- ostatní výrobky z drahých kovů, 711</w:t>
      </w:r>
      <w:r w:rsidR="00870711">
        <w:rPr>
          <w:szCs w:val="24"/>
        </w:rPr>
        <w:t>6- výrobky z perel, drahokamu a </w:t>
      </w:r>
      <w:r w:rsidRPr="004D72F9">
        <w:rPr>
          <w:szCs w:val="24"/>
        </w:rPr>
        <w:t>polodrahokamů, 7117- bižuterie, 7118- mince</w:t>
      </w:r>
      <w:r>
        <w:rPr>
          <w:szCs w:val="24"/>
        </w:rPr>
        <w:t xml:space="preserve"> </w:t>
      </w:r>
      <w:r w:rsidRPr="004D72F9">
        <w:rPr>
          <w:szCs w:val="24"/>
        </w:rPr>
        <w:t xml:space="preserve">a </w:t>
      </w:r>
      <w:r w:rsidR="002E0200">
        <w:rPr>
          <w:szCs w:val="24"/>
        </w:rPr>
        <w:t xml:space="preserve">mimo </w:t>
      </w:r>
      <w:r w:rsidRPr="00284D51">
        <w:rPr>
          <w:szCs w:val="24"/>
        </w:rPr>
        <w:t>kapitol</w:t>
      </w:r>
      <w:r w:rsidR="002E0200">
        <w:rPr>
          <w:szCs w:val="24"/>
        </w:rPr>
        <w:t>u</w:t>
      </w:r>
      <w:r w:rsidRPr="00284D51">
        <w:rPr>
          <w:szCs w:val="24"/>
        </w:rPr>
        <w:t xml:space="preserve"> 82-</w:t>
      </w:r>
      <w:r w:rsidRPr="00A77CC1">
        <w:rPr>
          <w:caps/>
          <w:szCs w:val="24"/>
        </w:rPr>
        <w:t>NÁSTROJE, NÁŘADÍ, NÁČINÍ, NOŽÍŘSKÉ VÝROBKY A PŘÍBORY, Z OBECNÝCH KOVŮ; JEJICH Č</w:t>
      </w:r>
      <w:r w:rsidR="00870711">
        <w:rPr>
          <w:caps/>
          <w:szCs w:val="24"/>
        </w:rPr>
        <w:t>ÁSTI A </w:t>
      </w:r>
      <w:r w:rsidRPr="00284D51">
        <w:rPr>
          <w:caps/>
          <w:szCs w:val="24"/>
        </w:rPr>
        <w:t xml:space="preserve">SOUČÁSTI Z OBECNÝCH KOVŮ </w:t>
      </w:r>
      <w:r w:rsidRPr="00284D51">
        <w:rPr>
          <w:szCs w:val="24"/>
        </w:rPr>
        <w:t>a kapitol</w:t>
      </w:r>
      <w:r w:rsidR="002E0200">
        <w:rPr>
          <w:szCs w:val="24"/>
        </w:rPr>
        <w:t>u</w:t>
      </w:r>
      <w:r w:rsidRPr="00284D51">
        <w:rPr>
          <w:szCs w:val="24"/>
        </w:rPr>
        <w:t xml:space="preserve"> 83- RŮZNÉ VÝROBKY Z OBECNÝCH KOVŮ.</w:t>
      </w:r>
    </w:p>
    <w:p w:rsidR="00C20AE8" w:rsidRPr="00870711" w:rsidRDefault="00C20AE8" w:rsidP="00870711">
      <w:pPr>
        <w:spacing w:after="120"/>
        <w:rPr>
          <w:b/>
          <w:i/>
          <w:szCs w:val="24"/>
        </w:rPr>
      </w:pPr>
      <w:r w:rsidRPr="00870711">
        <w:rPr>
          <w:b/>
          <w:i/>
          <w:szCs w:val="24"/>
        </w:rPr>
        <w:t>Odstavec 2:</w:t>
      </w:r>
    </w:p>
    <w:p w:rsidR="00D64696" w:rsidRDefault="00AB3DB1" w:rsidP="00870711">
      <w:pPr>
        <w:spacing w:after="120"/>
        <w:rPr>
          <w:szCs w:val="24"/>
        </w:rPr>
      </w:pPr>
      <w:r>
        <w:rPr>
          <w:szCs w:val="24"/>
        </w:rPr>
        <w:t>V tomto odstavci je stanovena povinnost použít režim přenesení daňové povinnosti při dodání vybraného zboží, které je definováno v odst. 3 písm. a) až c) a současně pouze tehdy, pokud celkový součet základu daně všech plnění uvedených v písm. a</w:t>
      </w:r>
      <w:r w:rsidR="003466DA">
        <w:rPr>
          <w:szCs w:val="24"/>
        </w:rPr>
        <w:t>) až c) překročí částku 100 000 </w:t>
      </w:r>
      <w:r>
        <w:rPr>
          <w:szCs w:val="24"/>
        </w:rPr>
        <w:t>Kč. Výše této částky byla zvolena podle</w:t>
      </w:r>
      <w:r w:rsidRPr="009309F4">
        <w:rPr>
          <w:szCs w:val="24"/>
        </w:rPr>
        <w:t xml:space="preserve"> </w:t>
      </w:r>
      <w:r>
        <w:rPr>
          <w:szCs w:val="24"/>
        </w:rPr>
        <w:t>stanovených limitů sousedních států, která se pohybuje v částce 5 000 EUR na vybrané případy.  Tat</w:t>
      </w:r>
      <w:r w:rsidR="003466DA">
        <w:rPr>
          <w:szCs w:val="24"/>
        </w:rPr>
        <w:t>o částka byla zvolena proto, že </w:t>
      </w:r>
      <w:r>
        <w:rPr>
          <w:szCs w:val="24"/>
        </w:rPr>
        <w:t xml:space="preserve">se jedná o zboží charakteru spotřebního zboží, s relativně nižšími cenami a také zejména proto, aby se povinnost uplatnit režim přenesení </w:t>
      </w:r>
      <w:r w:rsidR="003466DA">
        <w:rPr>
          <w:szCs w:val="24"/>
        </w:rPr>
        <w:t>daňové povinnosti vztahovala na </w:t>
      </w:r>
      <w:r>
        <w:rPr>
          <w:szCs w:val="24"/>
        </w:rPr>
        <w:t xml:space="preserve">významnější částky nákupu tohoto zboží. </w:t>
      </w:r>
      <w:r w:rsidRPr="00284D51">
        <w:rPr>
          <w:szCs w:val="24"/>
        </w:rPr>
        <w:t xml:space="preserve">Pokud tedy plátce DPH bude mít, např. </w:t>
      </w:r>
      <w:r>
        <w:rPr>
          <w:szCs w:val="24"/>
        </w:rPr>
        <w:t xml:space="preserve">pouze </w:t>
      </w:r>
      <w:r w:rsidRPr="00284D51">
        <w:rPr>
          <w:szCs w:val="24"/>
        </w:rPr>
        <w:t xml:space="preserve">plnění podle </w:t>
      </w:r>
      <w:r>
        <w:rPr>
          <w:szCs w:val="24"/>
        </w:rPr>
        <w:t xml:space="preserve">odst. 3 </w:t>
      </w:r>
      <w:r w:rsidRPr="00284D51">
        <w:rPr>
          <w:szCs w:val="24"/>
        </w:rPr>
        <w:t>písm. a)</w:t>
      </w:r>
      <w:r>
        <w:rPr>
          <w:szCs w:val="24"/>
        </w:rPr>
        <w:t xml:space="preserve"> nebo současně jak podle písm. a) </w:t>
      </w:r>
      <w:r w:rsidRPr="00284D51">
        <w:rPr>
          <w:szCs w:val="24"/>
        </w:rPr>
        <w:t>i podle písm. c)</w:t>
      </w:r>
      <w:r>
        <w:rPr>
          <w:szCs w:val="24"/>
        </w:rPr>
        <w:t xml:space="preserve"> atd.</w:t>
      </w:r>
      <w:r w:rsidR="003466DA">
        <w:rPr>
          <w:szCs w:val="24"/>
        </w:rPr>
        <w:t>, má </w:t>
      </w:r>
      <w:r w:rsidRPr="00284D51">
        <w:rPr>
          <w:szCs w:val="24"/>
        </w:rPr>
        <w:t xml:space="preserve">povinnost použít režim přenesení daňové povinnosti, ale jen pokud celkový součet </w:t>
      </w:r>
      <w:r>
        <w:rPr>
          <w:szCs w:val="24"/>
        </w:rPr>
        <w:t>základu daně za tato</w:t>
      </w:r>
      <w:r w:rsidRPr="00284D51">
        <w:rPr>
          <w:szCs w:val="24"/>
        </w:rPr>
        <w:t xml:space="preserve"> plnění překročí stanovený limit </w:t>
      </w:r>
      <w:r>
        <w:rPr>
          <w:szCs w:val="24"/>
        </w:rPr>
        <w:t>100</w:t>
      </w:r>
      <w:r w:rsidRPr="00284D51">
        <w:rPr>
          <w:szCs w:val="24"/>
        </w:rPr>
        <w:t xml:space="preserve"> tis. Kč.</w:t>
      </w:r>
      <w:r>
        <w:rPr>
          <w:szCs w:val="24"/>
        </w:rPr>
        <w:t xml:space="preserve"> </w:t>
      </w:r>
    </w:p>
    <w:p w:rsidR="00D64696" w:rsidRPr="00870711" w:rsidRDefault="00D64696" w:rsidP="00870711">
      <w:pPr>
        <w:spacing w:after="120"/>
        <w:rPr>
          <w:b/>
          <w:i/>
          <w:szCs w:val="24"/>
        </w:rPr>
      </w:pPr>
      <w:r w:rsidRPr="00870711">
        <w:rPr>
          <w:b/>
          <w:i/>
          <w:szCs w:val="24"/>
        </w:rPr>
        <w:t>Odstavec 3:</w:t>
      </w:r>
    </w:p>
    <w:p w:rsidR="00C20AE8" w:rsidRPr="00B058B5" w:rsidRDefault="00C20AE8" w:rsidP="00870711">
      <w:pPr>
        <w:spacing w:after="120"/>
        <w:rPr>
          <w:szCs w:val="24"/>
        </w:rPr>
      </w:pPr>
      <w:r w:rsidRPr="00B058B5">
        <w:rPr>
          <w:szCs w:val="24"/>
        </w:rPr>
        <w:t xml:space="preserve">K písm. </w:t>
      </w:r>
      <w:r>
        <w:rPr>
          <w:szCs w:val="24"/>
        </w:rPr>
        <w:t>a</w:t>
      </w:r>
      <w:r w:rsidRPr="00B058B5">
        <w:rPr>
          <w:szCs w:val="24"/>
        </w:rPr>
        <w:t xml:space="preserve">) </w:t>
      </w:r>
      <w:proofErr w:type="gramStart"/>
      <w:r w:rsidRPr="00B058B5">
        <w:rPr>
          <w:szCs w:val="24"/>
        </w:rPr>
        <w:t xml:space="preserve">až </w:t>
      </w:r>
      <w:r>
        <w:rPr>
          <w:szCs w:val="24"/>
        </w:rPr>
        <w:t>c)</w:t>
      </w:r>
      <w:r w:rsidRPr="00B058B5">
        <w:rPr>
          <w:szCs w:val="24"/>
        </w:rPr>
        <w:t xml:space="preserve"> (mobilní</w:t>
      </w:r>
      <w:proofErr w:type="gramEnd"/>
      <w:r w:rsidRPr="00B058B5">
        <w:rPr>
          <w:szCs w:val="24"/>
        </w:rPr>
        <w:t xml:space="preserve"> telefony, integrované obvody, herní konzole, tablety a laptopy)</w:t>
      </w:r>
    </w:p>
    <w:p w:rsidR="00C20AE8" w:rsidRPr="00B058B5" w:rsidRDefault="00C20AE8" w:rsidP="00870711">
      <w:pPr>
        <w:spacing w:after="120"/>
        <w:rPr>
          <w:szCs w:val="24"/>
        </w:rPr>
      </w:pPr>
      <w:r w:rsidRPr="00B058B5">
        <w:rPr>
          <w:szCs w:val="24"/>
        </w:rPr>
        <w:t xml:space="preserve">Dodání těchto komodit jsou zahrnuta v bodech 2, 3 a 7 přílohy č. 6 zákona o DPH, ve znění </w:t>
      </w:r>
      <w:r w:rsidR="00BD5DC6">
        <w:rPr>
          <w:szCs w:val="24"/>
        </w:rPr>
        <w:t>účinném</w:t>
      </w:r>
      <w:r w:rsidR="00BD5DC6" w:rsidRPr="00B058B5">
        <w:rPr>
          <w:szCs w:val="24"/>
        </w:rPr>
        <w:t xml:space="preserve"> </w:t>
      </w:r>
      <w:r w:rsidRPr="00B058B5">
        <w:rPr>
          <w:szCs w:val="24"/>
        </w:rPr>
        <w:t xml:space="preserve">od 1. </w:t>
      </w:r>
      <w:r w:rsidR="00BD5DC6">
        <w:rPr>
          <w:szCs w:val="24"/>
        </w:rPr>
        <w:t>ledna</w:t>
      </w:r>
      <w:r w:rsidRPr="00B058B5">
        <w:rPr>
          <w:szCs w:val="24"/>
        </w:rPr>
        <w:t xml:space="preserve"> 2015. </w:t>
      </w:r>
    </w:p>
    <w:p w:rsidR="00C20AE8" w:rsidRPr="00B058B5" w:rsidRDefault="00C20AE8" w:rsidP="00870711">
      <w:pPr>
        <w:spacing w:after="120"/>
        <w:rPr>
          <w:szCs w:val="24"/>
        </w:rPr>
      </w:pPr>
      <w:r w:rsidRPr="00B058B5">
        <w:rPr>
          <w:szCs w:val="24"/>
        </w:rPr>
        <w:t>Mobilní telefony, integrované obvody, herní konzole, tablety a laptopy patří mezi komodity, které jsou náchylné pro řetězové podvody typu chybějícího obchodníka, neboť se jedná o</w:t>
      </w:r>
      <w:r w:rsidR="00870711">
        <w:rPr>
          <w:szCs w:val="24"/>
        </w:rPr>
        <w:t> </w:t>
      </w:r>
      <w:r w:rsidRPr="00B058B5">
        <w:rPr>
          <w:szCs w:val="24"/>
        </w:rPr>
        <w:t xml:space="preserve">zboží malých rozměrů a s poměrně vysokými cenami. Přestože se jedná o jednotkově dobře identifikovatelné zboží, je sledování jednotlivých kusů v objemech, v jakých je obchod vykazován, a v množství realizovaných </w:t>
      </w:r>
      <w:proofErr w:type="spellStart"/>
      <w:r w:rsidRPr="00B058B5">
        <w:rPr>
          <w:szCs w:val="24"/>
        </w:rPr>
        <w:t>přeprodejů</w:t>
      </w:r>
      <w:proofErr w:type="spellEnd"/>
      <w:r w:rsidRPr="00B058B5">
        <w:rPr>
          <w:szCs w:val="24"/>
        </w:rPr>
        <w:t xml:space="preserve"> mezi jednotlivými články řetězce neproveditelné. Což umocňuje ještě fakt výskytu tzv. chybějícího obchodníka v řetězci, tedy další překážka kontinuálního monitorování toku jednotlivých kusů zboží. </w:t>
      </w:r>
    </w:p>
    <w:p w:rsidR="00C20AE8" w:rsidRPr="00B058B5" w:rsidRDefault="00C20AE8" w:rsidP="00870711">
      <w:pPr>
        <w:spacing w:after="120"/>
        <w:rPr>
          <w:szCs w:val="24"/>
        </w:rPr>
      </w:pPr>
      <w:r w:rsidRPr="00B058B5">
        <w:rPr>
          <w:szCs w:val="24"/>
        </w:rPr>
        <w:t xml:space="preserve">Trh s těmito komoditami představuje na území ČR v současné době velmi rozsáhlou síť obchodních společností, mezi nimiž dochází k intenzivnímu </w:t>
      </w:r>
      <w:proofErr w:type="spellStart"/>
      <w:r w:rsidRPr="00B058B5">
        <w:rPr>
          <w:szCs w:val="24"/>
        </w:rPr>
        <w:t>přeprodávání</w:t>
      </w:r>
      <w:proofErr w:type="spellEnd"/>
      <w:r w:rsidRPr="00B058B5">
        <w:rPr>
          <w:szCs w:val="24"/>
        </w:rPr>
        <w:t xml:space="preserve"> velkého objemu zboží.  Z podrobné analýzy zpracované Finanční správou ČR vyplývá, že například mobilní telefony jsou do ČR pořizovány jak z jiných členských států,</w:t>
      </w:r>
      <w:r w:rsidR="00870711">
        <w:rPr>
          <w:szCs w:val="24"/>
        </w:rPr>
        <w:t xml:space="preserve"> tak ze třetích zemí a poté, co </w:t>
      </w:r>
      <w:r w:rsidRPr="00B058B5">
        <w:rPr>
          <w:szCs w:val="24"/>
        </w:rPr>
        <w:t xml:space="preserve">několikrát změní vlastníka na území ČR, jsou opět dodávány zpět do jiných členských států či vyváženy do třetích zemí. Jen malá část mobilních telefonů nakoupených mimo ČR zůstává na domácím trhu. Obdobné signály jsou o obchodování s ostatními komoditami vymezenými v písmenech </w:t>
      </w:r>
      <w:r w:rsidRPr="00A77CC1">
        <w:rPr>
          <w:szCs w:val="24"/>
        </w:rPr>
        <w:t>b</w:t>
      </w:r>
      <w:r w:rsidRPr="00284D51">
        <w:rPr>
          <w:szCs w:val="24"/>
        </w:rPr>
        <w:t xml:space="preserve">) a </w:t>
      </w:r>
      <w:r w:rsidRPr="00A77CC1">
        <w:rPr>
          <w:szCs w:val="24"/>
        </w:rPr>
        <w:t>c</w:t>
      </w:r>
      <w:r w:rsidRPr="00284D51">
        <w:rPr>
          <w:szCs w:val="24"/>
        </w:rPr>
        <w:t>).</w:t>
      </w:r>
      <w:r w:rsidRPr="00B058B5">
        <w:rPr>
          <w:szCs w:val="24"/>
        </w:rPr>
        <w:t xml:space="preserve"> Lze předpokládat, že část deklarovaných obchodů s těmito komoditami je fiktivních.</w:t>
      </w:r>
    </w:p>
    <w:p w:rsidR="003023EE" w:rsidRDefault="00C270A2" w:rsidP="00870711">
      <w:pPr>
        <w:spacing w:after="120"/>
        <w:rPr>
          <w:b/>
          <w:i/>
          <w:szCs w:val="24"/>
        </w:rPr>
      </w:pPr>
      <w:r w:rsidRPr="00870711">
        <w:rPr>
          <w:b/>
          <w:i/>
          <w:szCs w:val="24"/>
        </w:rPr>
        <w:lastRenderedPageBreak/>
        <w:t>Odstavec 4</w:t>
      </w:r>
      <w:r>
        <w:rPr>
          <w:b/>
          <w:i/>
          <w:szCs w:val="24"/>
        </w:rPr>
        <w:t>:</w:t>
      </w:r>
    </w:p>
    <w:p w:rsidR="003023EE" w:rsidRPr="00A71176" w:rsidRDefault="003023EE" w:rsidP="003023EE">
      <w:pPr>
        <w:spacing w:after="120"/>
        <w:rPr>
          <w:szCs w:val="24"/>
        </w:rPr>
      </w:pPr>
      <w:r>
        <w:rPr>
          <w:szCs w:val="24"/>
        </w:rPr>
        <w:t xml:space="preserve">Kategorie zboží uvedené v odstavcích 1 až 2 jsou definovány pomocí </w:t>
      </w:r>
      <w:r w:rsidRPr="00A71176">
        <w:rPr>
          <w:szCs w:val="24"/>
        </w:rPr>
        <w:t>Kombinovan</w:t>
      </w:r>
      <w:r>
        <w:rPr>
          <w:szCs w:val="24"/>
        </w:rPr>
        <w:t>é</w:t>
      </w:r>
      <w:r w:rsidRPr="00A71176">
        <w:rPr>
          <w:szCs w:val="24"/>
        </w:rPr>
        <w:t xml:space="preserve"> nomenklatur</w:t>
      </w:r>
      <w:r>
        <w:rPr>
          <w:szCs w:val="24"/>
        </w:rPr>
        <w:t>y</w:t>
      </w:r>
      <w:r w:rsidRPr="00A71176">
        <w:rPr>
          <w:szCs w:val="24"/>
        </w:rPr>
        <w:t xml:space="preserve"> (Příloha č. 1 Nařízení Rady (EHS) 2658/87 ze </w:t>
      </w:r>
      <w:r w:rsidR="003466DA">
        <w:rPr>
          <w:szCs w:val="24"/>
        </w:rPr>
        <w:t>dne 23. července 1987 o celní a </w:t>
      </w:r>
      <w:r w:rsidRPr="00A71176">
        <w:rPr>
          <w:szCs w:val="24"/>
        </w:rPr>
        <w:t>statistické nomenklatuře a o společném celním sazebníku) – prováděcí nařízení Komise (EU) 1001/2013 (SPOLEČNÝ CELNÍ SAZEBNÍK EU platný pro rok 2014)</w:t>
      </w:r>
      <w:r w:rsidR="003466DA">
        <w:rPr>
          <w:szCs w:val="24"/>
        </w:rPr>
        <w:t>, tj. </w:t>
      </w:r>
      <w:bookmarkStart w:id="2" w:name="_GoBack"/>
      <w:bookmarkEnd w:id="2"/>
      <w:r w:rsidR="003466DA">
        <w:rPr>
          <w:szCs w:val="24"/>
        </w:rPr>
        <w:t>„NEK </w:t>
      </w:r>
      <w:r>
        <w:rPr>
          <w:szCs w:val="24"/>
        </w:rPr>
        <w:t>č.</w:t>
      </w:r>
      <w:r w:rsidR="003466DA">
        <w:rPr>
          <w:szCs w:val="24"/>
        </w:rPr>
        <w:t> </w:t>
      </w:r>
      <w:r>
        <w:rPr>
          <w:szCs w:val="24"/>
        </w:rPr>
        <w:t xml:space="preserve">1001-2013“, který lze vyhledat na stránkách Generálního ředitelství cel: </w:t>
      </w:r>
    </w:p>
    <w:p w:rsidR="00D64696" w:rsidRPr="00870711" w:rsidRDefault="003023EE" w:rsidP="00870711">
      <w:pPr>
        <w:spacing w:after="120"/>
        <w:rPr>
          <w:b/>
          <w:i/>
          <w:szCs w:val="24"/>
        </w:rPr>
      </w:pPr>
      <w:r w:rsidRPr="007254AA">
        <w:rPr>
          <w:i/>
          <w:szCs w:val="24"/>
        </w:rPr>
        <w:t>http://www.celnisprava.cz/cz/clo/sazebni-zarazeni-zbozi/spolecny-celni-sazebnik-es/Stranky/default.aspx</w:t>
      </w:r>
      <w:r>
        <w:rPr>
          <w:i/>
          <w:szCs w:val="24"/>
        </w:rPr>
        <w:t>.</w:t>
      </w:r>
    </w:p>
    <w:p w:rsidR="005D6DA6" w:rsidRPr="00621842" w:rsidRDefault="005D6DA6" w:rsidP="00870711">
      <w:pPr>
        <w:keepNext/>
        <w:tabs>
          <w:tab w:val="num" w:pos="709"/>
        </w:tabs>
        <w:suppressAutoHyphens/>
        <w:spacing w:before="240" w:after="120"/>
        <w:jc w:val="left"/>
        <w:outlineLvl w:val="0"/>
        <w:rPr>
          <w:b/>
          <w:szCs w:val="24"/>
        </w:rPr>
      </w:pPr>
      <w:r w:rsidRPr="00621842">
        <w:rPr>
          <w:b/>
          <w:szCs w:val="24"/>
        </w:rPr>
        <w:t xml:space="preserve">K </w:t>
      </w:r>
      <w:r>
        <w:rPr>
          <w:b/>
          <w:szCs w:val="24"/>
        </w:rPr>
        <w:t>§ </w:t>
      </w:r>
      <w:r w:rsidR="002B74D6">
        <w:rPr>
          <w:b/>
          <w:szCs w:val="24"/>
        </w:rPr>
        <w:t>3</w:t>
      </w:r>
      <w:r>
        <w:rPr>
          <w:b/>
          <w:szCs w:val="24"/>
        </w:rPr>
        <w:t xml:space="preserve"> </w:t>
      </w:r>
      <w:r w:rsidR="00C270A2">
        <w:rPr>
          <w:b/>
          <w:szCs w:val="24"/>
        </w:rPr>
        <w:t>(účinnost)</w:t>
      </w:r>
    </w:p>
    <w:p w:rsidR="00EC6C11" w:rsidRPr="005D6DA6" w:rsidRDefault="005D6DA6" w:rsidP="00870711">
      <w:pPr>
        <w:spacing w:after="120"/>
        <w:rPr>
          <w:bCs/>
          <w:szCs w:val="24"/>
        </w:rPr>
      </w:pPr>
      <w:r>
        <w:rPr>
          <w:bCs/>
          <w:szCs w:val="24"/>
        </w:rPr>
        <w:t>Účinnost nařízení se navrhuje k</w:t>
      </w:r>
      <w:r w:rsidR="00FF357F">
        <w:rPr>
          <w:bCs/>
          <w:szCs w:val="24"/>
        </w:rPr>
        <w:t>e stejnému</w:t>
      </w:r>
      <w:r>
        <w:rPr>
          <w:bCs/>
          <w:szCs w:val="24"/>
        </w:rPr>
        <w:t xml:space="preserve"> datu </w:t>
      </w:r>
      <w:r w:rsidR="00FF357F">
        <w:rPr>
          <w:bCs/>
          <w:szCs w:val="24"/>
        </w:rPr>
        <w:t xml:space="preserve">jako účinnost tzv. řádné novely zákona o dani z přidané hodnoty, která zakotvuje přílohu č. 6 do zákona o DPH, tedy k </w:t>
      </w:r>
      <w:r>
        <w:rPr>
          <w:bCs/>
          <w:szCs w:val="24"/>
        </w:rPr>
        <w:t>1. ledn</w:t>
      </w:r>
      <w:r w:rsidR="00FF357F">
        <w:rPr>
          <w:bCs/>
          <w:szCs w:val="24"/>
        </w:rPr>
        <w:t>u</w:t>
      </w:r>
      <w:r>
        <w:rPr>
          <w:bCs/>
          <w:szCs w:val="24"/>
        </w:rPr>
        <w:t xml:space="preserve"> 2015.</w:t>
      </w:r>
    </w:p>
    <w:sectPr w:rsidR="00EC6C11" w:rsidRPr="005D6DA6" w:rsidSect="007F1DEF">
      <w:headerReference w:type="even" r:id="rId9"/>
      <w:headerReference w:type="default" r:id="rId10"/>
      <w:headerReference w:type="first" r:id="rId11"/>
      <w:type w:val="oddPage"/>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94" w:rsidRDefault="008F0594">
      <w:r>
        <w:separator/>
      </w:r>
    </w:p>
  </w:endnote>
  <w:endnote w:type="continuationSeparator" w:id="0">
    <w:p w:rsidR="008F0594" w:rsidRDefault="008F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94" w:rsidRDefault="008F0594">
      <w:r>
        <w:separator/>
      </w:r>
    </w:p>
  </w:footnote>
  <w:footnote w:type="continuationSeparator" w:id="0">
    <w:p w:rsidR="008F0594" w:rsidRDefault="008F0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86" w:rsidRDefault="008515A9">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26986" w:rsidRDefault="0042698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986" w:rsidRDefault="008515A9">
    <w:pPr>
      <w:pStyle w:val="Zhlav"/>
      <w:framePr w:wrap="around" w:vAnchor="text" w:hAnchor="margin" w:xAlign="center" w:y="1"/>
      <w:rPr>
        <w:rStyle w:val="slostrnky"/>
      </w:rPr>
    </w:pPr>
    <w:r>
      <w:rPr>
        <w:rStyle w:val="slostrnky"/>
      </w:rPr>
      <w:t xml:space="preserve">- </w:t>
    </w:r>
    <w:r>
      <w:rPr>
        <w:rStyle w:val="slostrnky"/>
      </w:rPr>
      <w:fldChar w:fldCharType="begin"/>
    </w:r>
    <w:r>
      <w:rPr>
        <w:rStyle w:val="slostrnky"/>
      </w:rPr>
      <w:instrText xml:space="preserve">PAGE  </w:instrText>
    </w:r>
    <w:r>
      <w:rPr>
        <w:rStyle w:val="slostrnky"/>
      </w:rPr>
      <w:fldChar w:fldCharType="separate"/>
    </w:r>
    <w:r w:rsidR="003466DA">
      <w:rPr>
        <w:rStyle w:val="slostrnky"/>
        <w:noProof/>
      </w:rPr>
      <w:t>6</w:t>
    </w:r>
    <w:r>
      <w:rPr>
        <w:rStyle w:val="slostrnky"/>
      </w:rPr>
      <w:fldChar w:fldCharType="end"/>
    </w:r>
    <w:r>
      <w:rPr>
        <w:rStyle w:val="slostrnky"/>
      </w:rPr>
      <w:t xml:space="preserve"> -</w:t>
    </w:r>
  </w:p>
  <w:p w:rsidR="00426986" w:rsidRDefault="0042698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847" w:rsidRPr="00744847" w:rsidRDefault="00744847" w:rsidP="00744847">
    <w:pPr>
      <w:pStyle w:val="Zhlav"/>
      <w:jc w:val="right"/>
      <w:rPr>
        <w:b/>
      </w:rPr>
    </w:pPr>
    <w:r>
      <w:rPr>
        <w:b/>
      </w:rPr>
      <w:t>IV.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8CE"/>
    <w:multiLevelType w:val="singleLevel"/>
    <w:tmpl w:val="4D58B58E"/>
    <w:lvl w:ilvl="0">
      <w:start w:val="1"/>
      <w:numFmt w:val="decimal"/>
      <w:lvlText w:val="%1."/>
      <w:lvlJc w:val="left"/>
      <w:pPr>
        <w:tabs>
          <w:tab w:val="num" w:pos="425"/>
        </w:tabs>
        <w:ind w:left="425" w:hanging="425"/>
      </w:pPr>
    </w:lvl>
  </w:abstractNum>
  <w:abstractNum w:abstractNumId="1">
    <w:nsid w:val="06092730"/>
    <w:multiLevelType w:val="singleLevel"/>
    <w:tmpl w:val="1C926EF8"/>
    <w:lvl w:ilvl="0">
      <w:start w:val="1"/>
      <w:numFmt w:val="upperLetter"/>
      <w:lvlText w:val="%1."/>
      <w:lvlJc w:val="left"/>
      <w:pPr>
        <w:tabs>
          <w:tab w:val="num" w:pos="425"/>
        </w:tabs>
        <w:ind w:left="425" w:hanging="425"/>
      </w:pPr>
    </w:lvl>
  </w:abstractNum>
  <w:abstractNum w:abstractNumId="2">
    <w:nsid w:val="06DF59A1"/>
    <w:multiLevelType w:val="singleLevel"/>
    <w:tmpl w:val="385A5C40"/>
    <w:lvl w:ilvl="0">
      <w:start w:val="1"/>
      <w:numFmt w:val="lowerLetter"/>
      <w:lvlText w:val="%1)"/>
      <w:lvlJc w:val="left"/>
      <w:pPr>
        <w:tabs>
          <w:tab w:val="num" w:pos="425"/>
        </w:tabs>
        <w:ind w:left="425" w:hanging="425"/>
      </w:pPr>
    </w:lvl>
  </w:abstractNum>
  <w:abstractNum w:abstractNumId="3">
    <w:nsid w:val="084D1BC9"/>
    <w:multiLevelType w:val="singleLevel"/>
    <w:tmpl w:val="ED2C711E"/>
    <w:lvl w:ilvl="0">
      <w:start w:val="1"/>
      <w:numFmt w:val="decimal"/>
      <w:lvlText w:val="(%1)"/>
      <w:lvlJc w:val="left"/>
      <w:pPr>
        <w:tabs>
          <w:tab w:val="num" w:pos="785"/>
        </w:tabs>
        <w:ind w:left="0" w:firstLine="425"/>
      </w:pPr>
    </w:lvl>
  </w:abstractNum>
  <w:abstractNum w:abstractNumId="4">
    <w:nsid w:val="0DF93AD9"/>
    <w:multiLevelType w:val="multilevel"/>
    <w:tmpl w:val="DB20024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31189E"/>
    <w:multiLevelType w:val="singleLevel"/>
    <w:tmpl w:val="ED2C711E"/>
    <w:lvl w:ilvl="0">
      <w:start w:val="1"/>
      <w:numFmt w:val="decimal"/>
      <w:lvlText w:val="(%1)"/>
      <w:lvlJc w:val="left"/>
      <w:pPr>
        <w:tabs>
          <w:tab w:val="num" w:pos="785"/>
        </w:tabs>
        <w:ind w:left="0" w:firstLine="425"/>
      </w:pPr>
    </w:lvl>
  </w:abstractNum>
  <w:abstractNum w:abstractNumId="6">
    <w:nsid w:val="160452E1"/>
    <w:multiLevelType w:val="singleLevel"/>
    <w:tmpl w:val="D006ED84"/>
    <w:lvl w:ilvl="0">
      <w:start w:val="1"/>
      <w:numFmt w:val="decimal"/>
      <w:lvlText w:val="(%1)"/>
      <w:lvlJc w:val="left"/>
      <w:pPr>
        <w:tabs>
          <w:tab w:val="num" w:pos="782"/>
        </w:tabs>
        <w:ind w:left="0" w:firstLine="425"/>
      </w:pPr>
    </w:lvl>
  </w:abstractNum>
  <w:abstractNum w:abstractNumId="7">
    <w:nsid w:val="19371BD0"/>
    <w:multiLevelType w:val="singleLevel"/>
    <w:tmpl w:val="9D8C9836"/>
    <w:lvl w:ilvl="0">
      <w:start w:val="1"/>
      <w:numFmt w:val="decimal"/>
      <w:pStyle w:val="Novelizanbod"/>
      <w:lvlText w:val="%1."/>
      <w:lvlJc w:val="left"/>
      <w:pPr>
        <w:tabs>
          <w:tab w:val="num" w:pos="567"/>
        </w:tabs>
        <w:ind w:left="567" w:hanging="567"/>
      </w:pPr>
    </w:lvl>
  </w:abstractNum>
  <w:abstractNum w:abstractNumId="8">
    <w:nsid w:val="220D04C5"/>
    <w:multiLevelType w:val="singleLevel"/>
    <w:tmpl w:val="ED2C711E"/>
    <w:lvl w:ilvl="0">
      <w:start w:val="1"/>
      <w:numFmt w:val="decimal"/>
      <w:lvlText w:val="(%1)"/>
      <w:lvlJc w:val="left"/>
      <w:pPr>
        <w:tabs>
          <w:tab w:val="num" w:pos="785"/>
        </w:tabs>
        <w:ind w:left="0" w:firstLine="425"/>
      </w:pPr>
    </w:lvl>
  </w:abstractNum>
  <w:abstractNum w:abstractNumId="9">
    <w:nsid w:val="28A45962"/>
    <w:multiLevelType w:val="singleLevel"/>
    <w:tmpl w:val="ED2C711E"/>
    <w:lvl w:ilvl="0">
      <w:start w:val="1"/>
      <w:numFmt w:val="decimal"/>
      <w:lvlText w:val="(%1)"/>
      <w:lvlJc w:val="left"/>
      <w:pPr>
        <w:tabs>
          <w:tab w:val="num" w:pos="785"/>
        </w:tabs>
        <w:ind w:left="0" w:firstLine="425"/>
      </w:pPr>
    </w:lvl>
  </w:abstractNum>
  <w:abstractNum w:abstractNumId="10">
    <w:nsid w:val="28B73B77"/>
    <w:multiLevelType w:val="singleLevel"/>
    <w:tmpl w:val="ED2C711E"/>
    <w:lvl w:ilvl="0">
      <w:start w:val="1"/>
      <w:numFmt w:val="decimal"/>
      <w:lvlText w:val="(%1)"/>
      <w:lvlJc w:val="left"/>
      <w:pPr>
        <w:tabs>
          <w:tab w:val="num" w:pos="785"/>
        </w:tabs>
        <w:ind w:left="0" w:firstLine="425"/>
      </w:pPr>
    </w:lvl>
  </w:abstractNum>
  <w:abstractNum w:abstractNumId="11">
    <w:nsid w:val="31431250"/>
    <w:multiLevelType w:val="singleLevel"/>
    <w:tmpl w:val="0A2C9DDC"/>
    <w:lvl w:ilvl="0">
      <w:start w:val="1"/>
      <w:numFmt w:val="lowerLetter"/>
      <w:lvlText w:val="%1."/>
      <w:lvlJc w:val="left"/>
      <w:pPr>
        <w:tabs>
          <w:tab w:val="num" w:pos="360"/>
        </w:tabs>
        <w:ind w:left="360" w:hanging="360"/>
      </w:pPr>
    </w:lvl>
  </w:abstractNum>
  <w:abstractNum w:abstractNumId="12">
    <w:nsid w:val="34334D41"/>
    <w:multiLevelType w:val="singleLevel"/>
    <w:tmpl w:val="35009FF4"/>
    <w:lvl w:ilvl="0">
      <w:start w:val="1"/>
      <w:numFmt w:val="lowerLetter"/>
      <w:lvlText w:val="%1)"/>
      <w:lvlJc w:val="left"/>
      <w:pPr>
        <w:tabs>
          <w:tab w:val="num" w:pos="425"/>
        </w:tabs>
        <w:ind w:left="425" w:hanging="425"/>
      </w:pPr>
    </w:lvl>
  </w:abstractNum>
  <w:abstractNum w:abstractNumId="13">
    <w:nsid w:val="34C52AA2"/>
    <w:multiLevelType w:val="singleLevel"/>
    <w:tmpl w:val="ED2C711E"/>
    <w:lvl w:ilvl="0">
      <w:start w:val="1"/>
      <w:numFmt w:val="decimal"/>
      <w:lvlText w:val="(%1)"/>
      <w:lvlJc w:val="left"/>
      <w:pPr>
        <w:tabs>
          <w:tab w:val="num" w:pos="785"/>
        </w:tabs>
        <w:ind w:left="0" w:firstLine="425"/>
      </w:pPr>
    </w:lvl>
  </w:abstractNum>
  <w:abstractNum w:abstractNumId="14">
    <w:nsid w:val="358F7D0B"/>
    <w:multiLevelType w:val="singleLevel"/>
    <w:tmpl w:val="15A0EFFC"/>
    <w:lvl w:ilvl="0">
      <w:start w:val="1"/>
      <w:numFmt w:val="decimal"/>
      <w:lvlText w:val="%1."/>
      <w:lvlJc w:val="left"/>
      <w:pPr>
        <w:tabs>
          <w:tab w:val="num" w:pos="851"/>
        </w:tabs>
        <w:ind w:left="851" w:hanging="851"/>
      </w:pPr>
    </w:lvl>
  </w:abstractNum>
  <w:abstractNum w:abstractNumId="15">
    <w:nsid w:val="35D85430"/>
    <w:multiLevelType w:val="singleLevel"/>
    <w:tmpl w:val="ED2C711E"/>
    <w:lvl w:ilvl="0">
      <w:start w:val="1"/>
      <w:numFmt w:val="decimal"/>
      <w:lvlText w:val="(%1)"/>
      <w:lvlJc w:val="left"/>
      <w:pPr>
        <w:tabs>
          <w:tab w:val="num" w:pos="785"/>
        </w:tabs>
        <w:ind w:left="0" w:firstLine="425"/>
      </w:pPr>
    </w:lvl>
  </w:abstractNum>
  <w:abstractNum w:abstractNumId="16">
    <w:nsid w:val="3C8502C8"/>
    <w:multiLevelType w:val="singleLevel"/>
    <w:tmpl w:val="F2927B52"/>
    <w:lvl w:ilvl="0">
      <w:start w:val="1"/>
      <w:numFmt w:val="decimal"/>
      <w:lvlText w:val="%1."/>
      <w:lvlJc w:val="left"/>
      <w:pPr>
        <w:tabs>
          <w:tab w:val="num" w:pos="425"/>
        </w:tabs>
        <w:ind w:left="425" w:hanging="425"/>
      </w:pPr>
    </w:lvl>
  </w:abstractNum>
  <w:abstractNum w:abstractNumId="17">
    <w:nsid w:val="40570730"/>
    <w:multiLevelType w:val="singleLevel"/>
    <w:tmpl w:val="ECEE13EC"/>
    <w:lvl w:ilvl="0">
      <w:start w:val="1"/>
      <w:numFmt w:val="decimal"/>
      <w:lvlText w:val="(%1)"/>
      <w:lvlJc w:val="left"/>
      <w:pPr>
        <w:tabs>
          <w:tab w:val="num" w:pos="425"/>
        </w:tabs>
        <w:ind w:left="425" w:hanging="425"/>
      </w:pPr>
      <w:rPr>
        <w:rFonts w:hint="default"/>
      </w:rPr>
    </w:lvl>
  </w:abstractNum>
  <w:abstractNum w:abstractNumId="18">
    <w:nsid w:val="41663543"/>
    <w:multiLevelType w:val="singleLevel"/>
    <w:tmpl w:val="9B48C072"/>
    <w:lvl w:ilvl="0">
      <w:start w:val="1"/>
      <w:numFmt w:val="decimal"/>
      <w:lvlText w:val="%1."/>
      <w:lvlJc w:val="left"/>
      <w:pPr>
        <w:tabs>
          <w:tab w:val="num" w:pos="850"/>
        </w:tabs>
        <w:ind w:left="850" w:hanging="425"/>
      </w:pPr>
    </w:lvl>
  </w:abstractNum>
  <w:abstractNum w:abstractNumId="19">
    <w:nsid w:val="45225EE0"/>
    <w:multiLevelType w:val="hybridMultilevel"/>
    <w:tmpl w:val="F0EE6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63E6D3A"/>
    <w:multiLevelType w:val="singleLevel"/>
    <w:tmpl w:val="ED2C711E"/>
    <w:lvl w:ilvl="0">
      <w:start w:val="1"/>
      <w:numFmt w:val="decimal"/>
      <w:lvlText w:val="(%1)"/>
      <w:lvlJc w:val="left"/>
      <w:pPr>
        <w:tabs>
          <w:tab w:val="num" w:pos="785"/>
        </w:tabs>
        <w:ind w:left="0" w:firstLine="425"/>
      </w:pPr>
    </w:lvl>
  </w:abstractNum>
  <w:abstractNum w:abstractNumId="21">
    <w:nsid w:val="4A4D37D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F472A11"/>
    <w:multiLevelType w:val="singleLevel"/>
    <w:tmpl w:val="6E8C69DC"/>
    <w:lvl w:ilvl="0">
      <w:start w:val="1"/>
      <w:numFmt w:val="decimal"/>
      <w:lvlText w:val="%1."/>
      <w:lvlJc w:val="left"/>
      <w:pPr>
        <w:tabs>
          <w:tab w:val="num" w:pos="360"/>
        </w:tabs>
        <w:ind w:left="360" w:hanging="360"/>
      </w:pPr>
    </w:lvl>
  </w:abstractNum>
  <w:abstractNum w:abstractNumId="23">
    <w:nsid w:val="4FAD698B"/>
    <w:multiLevelType w:val="singleLevel"/>
    <w:tmpl w:val="CDD04226"/>
    <w:lvl w:ilvl="0">
      <w:start w:val="1"/>
      <w:numFmt w:val="decimal"/>
      <w:lvlText w:val="%1."/>
      <w:lvlJc w:val="right"/>
      <w:pPr>
        <w:tabs>
          <w:tab w:val="num" w:pos="425"/>
        </w:tabs>
        <w:ind w:left="425" w:hanging="425"/>
      </w:pPr>
    </w:lvl>
  </w:abstractNum>
  <w:abstractNum w:abstractNumId="24">
    <w:nsid w:val="568152EA"/>
    <w:multiLevelType w:val="singleLevel"/>
    <w:tmpl w:val="ED2C711E"/>
    <w:lvl w:ilvl="0">
      <w:start w:val="1"/>
      <w:numFmt w:val="decimal"/>
      <w:lvlText w:val="(%1)"/>
      <w:lvlJc w:val="left"/>
      <w:pPr>
        <w:tabs>
          <w:tab w:val="num" w:pos="785"/>
        </w:tabs>
        <w:ind w:left="0" w:firstLine="425"/>
      </w:pPr>
    </w:lvl>
  </w:abstractNum>
  <w:abstractNum w:abstractNumId="25">
    <w:nsid w:val="58B30AD5"/>
    <w:multiLevelType w:val="hybridMultilevel"/>
    <w:tmpl w:val="F8E61F50"/>
    <w:lvl w:ilvl="0" w:tplc="04050001">
      <w:start w:val="1"/>
      <w:numFmt w:val="bullet"/>
      <w:lvlText w:val=""/>
      <w:lvlJc w:val="left"/>
      <w:pPr>
        <w:ind w:left="459" w:hanging="360"/>
      </w:pPr>
      <w:rPr>
        <w:rFonts w:ascii="Symbol" w:hAnsi="Symbol" w:hint="default"/>
      </w:rPr>
    </w:lvl>
    <w:lvl w:ilvl="1" w:tplc="04050003" w:tentative="1">
      <w:start w:val="1"/>
      <w:numFmt w:val="bullet"/>
      <w:lvlText w:val="o"/>
      <w:lvlJc w:val="left"/>
      <w:pPr>
        <w:ind w:left="1179" w:hanging="360"/>
      </w:pPr>
      <w:rPr>
        <w:rFonts w:ascii="Courier New" w:hAnsi="Courier New" w:cs="Courier New" w:hint="default"/>
      </w:rPr>
    </w:lvl>
    <w:lvl w:ilvl="2" w:tplc="04050005" w:tentative="1">
      <w:start w:val="1"/>
      <w:numFmt w:val="bullet"/>
      <w:lvlText w:val=""/>
      <w:lvlJc w:val="left"/>
      <w:pPr>
        <w:ind w:left="1899" w:hanging="360"/>
      </w:pPr>
      <w:rPr>
        <w:rFonts w:ascii="Wingdings" w:hAnsi="Wingdings" w:hint="default"/>
      </w:rPr>
    </w:lvl>
    <w:lvl w:ilvl="3" w:tplc="04050001" w:tentative="1">
      <w:start w:val="1"/>
      <w:numFmt w:val="bullet"/>
      <w:lvlText w:val=""/>
      <w:lvlJc w:val="left"/>
      <w:pPr>
        <w:ind w:left="2619" w:hanging="360"/>
      </w:pPr>
      <w:rPr>
        <w:rFonts w:ascii="Symbol" w:hAnsi="Symbol" w:hint="default"/>
      </w:rPr>
    </w:lvl>
    <w:lvl w:ilvl="4" w:tplc="04050003" w:tentative="1">
      <w:start w:val="1"/>
      <w:numFmt w:val="bullet"/>
      <w:lvlText w:val="o"/>
      <w:lvlJc w:val="left"/>
      <w:pPr>
        <w:ind w:left="3339" w:hanging="360"/>
      </w:pPr>
      <w:rPr>
        <w:rFonts w:ascii="Courier New" w:hAnsi="Courier New" w:cs="Courier New" w:hint="default"/>
      </w:rPr>
    </w:lvl>
    <w:lvl w:ilvl="5" w:tplc="04050005" w:tentative="1">
      <w:start w:val="1"/>
      <w:numFmt w:val="bullet"/>
      <w:lvlText w:val=""/>
      <w:lvlJc w:val="left"/>
      <w:pPr>
        <w:ind w:left="4059" w:hanging="360"/>
      </w:pPr>
      <w:rPr>
        <w:rFonts w:ascii="Wingdings" w:hAnsi="Wingdings" w:hint="default"/>
      </w:rPr>
    </w:lvl>
    <w:lvl w:ilvl="6" w:tplc="04050001" w:tentative="1">
      <w:start w:val="1"/>
      <w:numFmt w:val="bullet"/>
      <w:lvlText w:val=""/>
      <w:lvlJc w:val="left"/>
      <w:pPr>
        <w:ind w:left="4779" w:hanging="360"/>
      </w:pPr>
      <w:rPr>
        <w:rFonts w:ascii="Symbol" w:hAnsi="Symbol" w:hint="default"/>
      </w:rPr>
    </w:lvl>
    <w:lvl w:ilvl="7" w:tplc="04050003" w:tentative="1">
      <w:start w:val="1"/>
      <w:numFmt w:val="bullet"/>
      <w:lvlText w:val="o"/>
      <w:lvlJc w:val="left"/>
      <w:pPr>
        <w:ind w:left="5499" w:hanging="360"/>
      </w:pPr>
      <w:rPr>
        <w:rFonts w:ascii="Courier New" w:hAnsi="Courier New" w:cs="Courier New" w:hint="default"/>
      </w:rPr>
    </w:lvl>
    <w:lvl w:ilvl="8" w:tplc="04050005" w:tentative="1">
      <w:start w:val="1"/>
      <w:numFmt w:val="bullet"/>
      <w:lvlText w:val=""/>
      <w:lvlJc w:val="left"/>
      <w:pPr>
        <w:ind w:left="6219" w:hanging="360"/>
      </w:pPr>
      <w:rPr>
        <w:rFonts w:ascii="Wingdings" w:hAnsi="Wingdings" w:hint="default"/>
      </w:rPr>
    </w:lvl>
  </w:abstractNum>
  <w:abstractNum w:abstractNumId="26">
    <w:nsid w:val="5D682AEB"/>
    <w:multiLevelType w:val="multilevel"/>
    <w:tmpl w:val="954892DC"/>
    <w:lvl w:ilvl="0">
      <w:start w:val="1"/>
      <w:numFmt w:val="upperLetter"/>
      <w:lvlText w:val="%1."/>
      <w:lvlJc w:val="left"/>
      <w:pPr>
        <w:tabs>
          <w:tab w:val="num" w:pos="567"/>
        </w:tabs>
        <w:ind w:left="567" w:hanging="567"/>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center"/>
      <w:pPr>
        <w:tabs>
          <w:tab w:val="num" w:pos="1134"/>
        </w:tabs>
        <w:ind w:left="567" w:hanging="567"/>
      </w:pPr>
      <w:rPr>
        <w:rFonts w:ascii="Times New Roman" w:hAnsi="Times New Roman" w:cs="Times New Roman" w:hint="default"/>
        <w:b/>
        <w:i w:val="0"/>
        <w:color w:val="auto"/>
        <w:sz w:val="24"/>
        <w:szCs w:val="24"/>
      </w:rPr>
    </w:lvl>
    <w:lvl w:ilvl="2">
      <w:start w:val="1"/>
      <w:numFmt w:val="decimal"/>
      <w:lvlText w:val="%3."/>
      <w:lvlJc w:val="left"/>
      <w:pPr>
        <w:tabs>
          <w:tab w:val="num" w:pos="720"/>
        </w:tabs>
        <w:ind w:left="720" w:hanging="36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851"/>
        </w:tabs>
        <w:ind w:left="851" w:hanging="85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7">
    <w:nsid w:val="664F3FDE"/>
    <w:multiLevelType w:val="singleLevel"/>
    <w:tmpl w:val="B5A4CA0E"/>
    <w:lvl w:ilvl="0">
      <w:start w:val="1"/>
      <w:numFmt w:val="decimal"/>
      <w:lvlText w:val="(%1)"/>
      <w:lvlJc w:val="left"/>
      <w:pPr>
        <w:tabs>
          <w:tab w:val="num" w:pos="425"/>
        </w:tabs>
        <w:ind w:left="425" w:hanging="425"/>
      </w:pPr>
    </w:lvl>
  </w:abstractNum>
  <w:abstractNum w:abstractNumId="28">
    <w:nsid w:val="694018DB"/>
    <w:multiLevelType w:val="singleLevel"/>
    <w:tmpl w:val="ACAE1942"/>
    <w:lvl w:ilvl="0">
      <w:start w:val="1"/>
      <w:numFmt w:val="lowerLetter"/>
      <w:lvlText w:val="%1)"/>
      <w:lvlJc w:val="left"/>
      <w:pPr>
        <w:tabs>
          <w:tab w:val="num" w:pos="425"/>
        </w:tabs>
        <w:ind w:left="425" w:hanging="425"/>
      </w:pPr>
    </w:lvl>
  </w:abstractNum>
  <w:abstractNum w:abstractNumId="29">
    <w:nsid w:val="6AAF1A1F"/>
    <w:multiLevelType w:val="multilevel"/>
    <w:tmpl w:val="EE2835EE"/>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nsid w:val="6F735246"/>
    <w:multiLevelType w:val="singleLevel"/>
    <w:tmpl w:val="66066F5C"/>
    <w:lvl w:ilvl="0">
      <w:start w:val="1"/>
      <w:numFmt w:val="lowerLetter"/>
      <w:lvlText w:val="%1)"/>
      <w:lvlJc w:val="left"/>
      <w:pPr>
        <w:tabs>
          <w:tab w:val="num" w:pos="425"/>
        </w:tabs>
        <w:ind w:left="425" w:hanging="425"/>
      </w:pPr>
    </w:lvl>
  </w:abstractNum>
  <w:abstractNum w:abstractNumId="31">
    <w:nsid w:val="70926B89"/>
    <w:multiLevelType w:val="singleLevel"/>
    <w:tmpl w:val="ED2C711E"/>
    <w:lvl w:ilvl="0">
      <w:start w:val="1"/>
      <w:numFmt w:val="decimal"/>
      <w:lvlText w:val="(%1)"/>
      <w:lvlJc w:val="left"/>
      <w:pPr>
        <w:tabs>
          <w:tab w:val="num" w:pos="785"/>
        </w:tabs>
        <w:ind w:left="0" w:firstLine="425"/>
      </w:pPr>
    </w:lvl>
  </w:abstractNum>
  <w:abstractNum w:abstractNumId="32">
    <w:nsid w:val="730B496C"/>
    <w:multiLevelType w:val="singleLevel"/>
    <w:tmpl w:val="ED2C711E"/>
    <w:lvl w:ilvl="0">
      <w:start w:val="1"/>
      <w:numFmt w:val="decimal"/>
      <w:lvlText w:val="(%1)"/>
      <w:lvlJc w:val="left"/>
      <w:pPr>
        <w:tabs>
          <w:tab w:val="num" w:pos="785"/>
        </w:tabs>
        <w:ind w:left="0" w:firstLine="425"/>
      </w:pPr>
    </w:lvl>
  </w:abstractNum>
  <w:abstractNum w:abstractNumId="33">
    <w:nsid w:val="737517F1"/>
    <w:multiLevelType w:val="singleLevel"/>
    <w:tmpl w:val="0F5EE22A"/>
    <w:lvl w:ilvl="0">
      <w:start w:val="1"/>
      <w:numFmt w:val="decimal"/>
      <w:lvlText w:val="(%1)"/>
      <w:lvlJc w:val="left"/>
      <w:pPr>
        <w:tabs>
          <w:tab w:val="num" w:pos="785"/>
        </w:tabs>
        <w:ind w:left="0" w:firstLine="425"/>
      </w:pPr>
    </w:lvl>
  </w:abstractNum>
  <w:num w:numId="1">
    <w:abstractNumId w:val="29"/>
  </w:num>
  <w:num w:numId="2">
    <w:abstractNumId w:val="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1"/>
  </w:num>
  <w:num w:numId="7">
    <w:abstractNumId w:val="1"/>
  </w:num>
  <w:num w:numId="8">
    <w:abstractNumId w:val="0"/>
  </w:num>
  <w:num w:numId="9">
    <w:abstractNumId w:val="14"/>
  </w:num>
  <w:num w:numId="10">
    <w:abstractNumId w:val="4"/>
  </w:num>
  <w:num w:numId="11">
    <w:abstractNumId w:val="2"/>
  </w:num>
  <w:num w:numId="12">
    <w:abstractNumId w:val="12"/>
  </w:num>
  <w:num w:numId="13">
    <w:abstractNumId w:val="33"/>
  </w:num>
  <w:num w:numId="14">
    <w:abstractNumId w:val="17"/>
  </w:num>
  <w:num w:numId="15">
    <w:abstractNumId w:val="28"/>
  </w:num>
  <w:num w:numId="16">
    <w:abstractNumId w:val="16"/>
  </w:num>
  <w:num w:numId="17">
    <w:abstractNumId w:val="27"/>
  </w:num>
  <w:num w:numId="18">
    <w:abstractNumId w:val="6"/>
  </w:num>
  <w:num w:numId="19">
    <w:abstractNumId w:val="22"/>
  </w:num>
  <w:num w:numId="20">
    <w:abstractNumId w:val="30"/>
  </w:num>
  <w:num w:numId="21">
    <w:abstractNumId w:val="23"/>
  </w:num>
  <w:num w:numId="22">
    <w:abstractNumId w:val="18"/>
  </w:num>
  <w:num w:numId="23">
    <w:abstractNumId w:val="23"/>
    <w:lvlOverride w:ilvl="0">
      <w:startOverride w:val="1"/>
    </w:lvlOverride>
  </w:num>
  <w:num w:numId="24">
    <w:abstractNumId w:val="13"/>
  </w:num>
  <w:num w:numId="25">
    <w:abstractNumId w:val="15"/>
  </w:num>
  <w:num w:numId="26">
    <w:abstractNumId w:val="31"/>
  </w:num>
  <w:num w:numId="27">
    <w:abstractNumId w:val="20"/>
  </w:num>
  <w:num w:numId="28">
    <w:abstractNumId w:val="5"/>
  </w:num>
  <w:num w:numId="29">
    <w:abstractNumId w:val="3"/>
  </w:num>
  <w:num w:numId="30">
    <w:abstractNumId w:val="9"/>
  </w:num>
  <w:num w:numId="31">
    <w:abstractNumId w:val="24"/>
  </w:num>
  <w:num w:numId="32">
    <w:abstractNumId w:val="8"/>
  </w:num>
  <w:num w:numId="33">
    <w:abstractNumId w:val="10"/>
  </w:num>
  <w:num w:numId="34">
    <w:abstractNumId w:val="32"/>
  </w:num>
  <w:num w:numId="35">
    <w:abstractNumId w:val="6"/>
    <w:lvlOverride w:ilvl="0">
      <w:startOverride w:val="1"/>
    </w:lvlOverride>
  </w:num>
  <w:num w:numId="36">
    <w:abstractNumId w:val="18"/>
    <w:lvlOverride w:ilvl="0">
      <w:startOverride w:val="1"/>
    </w:lvlOverride>
  </w:num>
  <w:num w:numId="37">
    <w:abstractNumId w:val="30"/>
    <w:lvlOverride w:ilvl="0">
      <w:startOverride w:val="1"/>
    </w:lvlOverride>
  </w:num>
  <w:num w:numId="38">
    <w:abstractNumId w:val="18"/>
    <w:lvlOverride w:ilvl="0">
      <w:startOverride w:val="1"/>
    </w:lvlOverride>
  </w:num>
  <w:num w:numId="39">
    <w:abstractNumId w:val="6"/>
    <w:lvlOverride w:ilvl="0">
      <w:startOverride w:val="1"/>
    </w:lvlOverride>
  </w:num>
  <w:num w:numId="40">
    <w:abstractNumId w:val="30"/>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30"/>
    <w:lvlOverride w:ilvl="0">
      <w:startOverride w:val="1"/>
    </w:lvlOverride>
  </w:num>
  <w:num w:numId="45">
    <w:abstractNumId w:val="6"/>
    <w:lvlOverride w:ilvl="0">
      <w:startOverride w:val="1"/>
    </w:lvlOverride>
  </w:num>
  <w:num w:numId="46">
    <w:abstractNumId w:val="25"/>
  </w:num>
  <w:num w:numId="4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linkStyl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ze_sablony" w:val="1.1"/>
  </w:docVars>
  <w:rsids>
    <w:rsidRoot w:val="005E59DB"/>
    <w:rsid w:val="000029F5"/>
    <w:rsid w:val="00052136"/>
    <w:rsid w:val="00072295"/>
    <w:rsid w:val="00083216"/>
    <w:rsid w:val="000A006E"/>
    <w:rsid w:val="000A5AB9"/>
    <w:rsid w:val="000A7D86"/>
    <w:rsid w:val="000B32A7"/>
    <w:rsid w:val="000C1376"/>
    <w:rsid w:val="000F0A06"/>
    <w:rsid w:val="000F4F61"/>
    <w:rsid w:val="00106C76"/>
    <w:rsid w:val="00134001"/>
    <w:rsid w:val="00160C28"/>
    <w:rsid w:val="00161436"/>
    <w:rsid w:val="001823B3"/>
    <w:rsid w:val="0018384B"/>
    <w:rsid w:val="001A0468"/>
    <w:rsid w:val="001A6886"/>
    <w:rsid w:val="001B09BC"/>
    <w:rsid w:val="001E0BFE"/>
    <w:rsid w:val="001E3445"/>
    <w:rsid w:val="001E5EDF"/>
    <w:rsid w:val="001F3F6E"/>
    <w:rsid w:val="00201DA7"/>
    <w:rsid w:val="00214D5F"/>
    <w:rsid w:val="00234BF7"/>
    <w:rsid w:val="00241FC4"/>
    <w:rsid w:val="00246648"/>
    <w:rsid w:val="00253226"/>
    <w:rsid w:val="00267DF2"/>
    <w:rsid w:val="002A3DC2"/>
    <w:rsid w:val="002A7080"/>
    <w:rsid w:val="002B1638"/>
    <w:rsid w:val="002B74D6"/>
    <w:rsid w:val="002E0200"/>
    <w:rsid w:val="002E1770"/>
    <w:rsid w:val="002E6836"/>
    <w:rsid w:val="002F3433"/>
    <w:rsid w:val="003023EE"/>
    <w:rsid w:val="00304597"/>
    <w:rsid w:val="00304E0F"/>
    <w:rsid w:val="003217F1"/>
    <w:rsid w:val="00325F9A"/>
    <w:rsid w:val="003466DA"/>
    <w:rsid w:val="00360AF7"/>
    <w:rsid w:val="00384CD7"/>
    <w:rsid w:val="0038659B"/>
    <w:rsid w:val="003A3A09"/>
    <w:rsid w:val="003B4CCC"/>
    <w:rsid w:val="003F0CB6"/>
    <w:rsid w:val="0040521D"/>
    <w:rsid w:val="00406265"/>
    <w:rsid w:val="00421C12"/>
    <w:rsid w:val="00426986"/>
    <w:rsid w:val="00427ECB"/>
    <w:rsid w:val="00445BF8"/>
    <w:rsid w:val="00465A6B"/>
    <w:rsid w:val="00466910"/>
    <w:rsid w:val="00494AD3"/>
    <w:rsid w:val="004A6D61"/>
    <w:rsid w:val="004B48DD"/>
    <w:rsid w:val="004C6B74"/>
    <w:rsid w:val="004D4EE1"/>
    <w:rsid w:val="004E5048"/>
    <w:rsid w:val="004F5587"/>
    <w:rsid w:val="00510545"/>
    <w:rsid w:val="00536E73"/>
    <w:rsid w:val="0056162D"/>
    <w:rsid w:val="00572F04"/>
    <w:rsid w:val="00577619"/>
    <w:rsid w:val="0058330F"/>
    <w:rsid w:val="00585234"/>
    <w:rsid w:val="0059057E"/>
    <w:rsid w:val="00591BDD"/>
    <w:rsid w:val="005A1D56"/>
    <w:rsid w:val="005C0446"/>
    <w:rsid w:val="005D6DA6"/>
    <w:rsid w:val="005E59DB"/>
    <w:rsid w:val="006060E6"/>
    <w:rsid w:val="0061301A"/>
    <w:rsid w:val="00621842"/>
    <w:rsid w:val="00631F83"/>
    <w:rsid w:val="00636FA5"/>
    <w:rsid w:val="00651F78"/>
    <w:rsid w:val="00653198"/>
    <w:rsid w:val="00684D35"/>
    <w:rsid w:val="00686A76"/>
    <w:rsid w:val="006A53FA"/>
    <w:rsid w:val="006B38C8"/>
    <w:rsid w:val="006C4B8C"/>
    <w:rsid w:val="006C5408"/>
    <w:rsid w:val="006C62D0"/>
    <w:rsid w:val="006D3712"/>
    <w:rsid w:val="006D6401"/>
    <w:rsid w:val="00706712"/>
    <w:rsid w:val="00731582"/>
    <w:rsid w:val="0073619B"/>
    <w:rsid w:val="00744847"/>
    <w:rsid w:val="007464E9"/>
    <w:rsid w:val="0075086A"/>
    <w:rsid w:val="007567F3"/>
    <w:rsid w:val="007628AA"/>
    <w:rsid w:val="007664DC"/>
    <w:rsid w:val="00775D7E"/>
    <w:rsid w:val="00780530"/>
    <w:rsid w:val="0078111A"/>
    <w:rsid w:val="00782FAB"/>
    <w:rsid w:val="007A1943"/>
    <w:rsid w:val="007A264B"/>
    <w:rsid w:val="007A6EAF"/>
    <w:rsid w:val="007D13F2"/>
    <w:rsid w:val="007D28E8"/>
    <w:rsid w:val="007D4BC3"/>
    <w:rsid w:val="007F1DEF"/>
    <w:rsid w:val="00814E13"/>
    <w:rsid w:val="00834251"/>
    <w:rsid w:val="00845155"/>
    <w:rsid w:val="008515A9"/>
    <w:rsid w:val="008610AB"/>
    <w:rsid w:val="00862A25"/>
    <w:rsid w:val="00870711"/>
    <w:rsid w:val="008719E3"/>
    <w:rsid w:val="008774DA"/>
    <w:rsid w:val="00891DB7"/>
    <w:rsid w:val="008B4D9F"/>
    <w:rsid w:val="008E6EAF"/>
    <w:rsid w:val="008F0594"/>
    <w:rsid w:val="008F5246"/>
    <w:rsid w:val="00924364"/>
    <w:rsid w:val="009318C8"/>
    <w:rsid w:val="0094461D"/>
    <w:rsid w:val="00953D95"/>
    <w:rsid w:val="00963EDE"/>
    <w:rsid w:val="009731B6"/>
    <w:rsid w:val="00994C5B"/>
    <w:rsid w:val="009A7102"/>
    <w:rsid w:val="009A7C14"/>
    <w:rsid w:val="009B0CE5"/>
    <w:rsid w:val="009B3F9C"/>
    <w:rsid w:val="009C16EB"/>
    <w:rsid w:val="009C788A"/>
    <w:rsid w:val="009F0C81"/>
    <w:rsid w:val="00A030FB"/>
    <w:rsid w:val="00A03E70"/>
    <w:rsid w:val="00A16F0F"/>
    <w:rsid w:val="00A203C6"/>
    <w:rsid w:val="00A20CF3"/>
    <w:rsid w:val="00A4406B"/>
    <w:rsid w:val="00A45B0C"/>
    <w:rsid w:val="00A71176"/>
    <w:rsid w:val="00A7310D"/>
    <w:rsid w:val="00A77CC1"/>
    <w:rsid w:val="00A82F58"/>
    <w:rsid w:val="00A91094"/>
    <w:rsid w:val="00AB0A8F"/>
    <w:rsid w:val="00AB123F"/>
    <w:rsid w:val="00AB3DB1"/>
    <w:rsid w:val="00AC4188"/>
    <w:rsid w:val="00AF2502"/>
    <w:rsid w:val="00AF49DE"/>
    <w:rsid w:val="00AF549E"/>
    <w:rsid w:val="00B14028"/>
    <w:rsid w:val="00B154F1"/>
    <w:rsid w:val="00B17AFE"/>
    <w:rsid w:val="00B2155B"/>
    <w:rsid w:val="00B237C7"/>
    <w:rsid w:val="00B26BD3"/>
    <w:rsid w:val="00B564D5"/>
    <w:rsid w:val="00B6439D"/>
    <w:rsid w:val="00B65AFC"/>
    <w:rsid w:val="00B7623D"/>
    <w:rsid w:val="00B820ED"/>
    <w:rsid w:val="00B87F74"/>
    <w:rsid w:val="00B953EB"/>
    <w:rsid w:val="00BA3A4A"/>
    <w:rsid w:val="00BC4490"/>
    <w:rsid w:val="00BD2C4F"/>
    <w:rsid w:val="00BD5DC6"/>
    <w:rsid w:val="00BD6F3C"/>
    <w:rsid w:val="00BE0162"/>
    <w:rsid w:val="00BE205B"/>
    <w:rsid w:val="00BE2F73"/>
    <w:rsid w:val="00BE6EBB"/>
    <w:rsid w:val="00BF403B"/>
    <w:rsid w:val="00C0290C"/>
    <w:rsid w:val="00C109FD"/>
    <w:rsid w:val="00C20AE8"/>
    <w:rsid w:val="00C270A2"/>
    <w:rsid w:val="00C32406"/>
    <w:rsid w:val="00C45991"/>
    <w:rsid w:val="00C55438"/>
    <w:rsid w:val="00C65528"/>
    <w:rsid w:val="00C76375"/>
    <w:rsid w:val="00C84772"/>
    <w:rsid w:val="00C9759F"/>
    <w:rsid w:val="00CA0DCD"/>
    <w:rsid w:val="00CB7DD7"/>
    <w:rsid w:val="00CC3270"/>
    <w:rsid w:val="00D02E14"/>
    <w:rsid w:val="00D05A30"/>
    <w:rsid w:val="00D06EB2"/>
    <w:rsid w:val="00D4462B"/>
    <w:rsid w:val="00D64696"/>
    <w:rsid w:val="00D647A7"/>
    <w:rsid w:val="00DA0F02"/>
    <w:rsid w:val="00DB29A5"/>
    <w:rsid w:val="00DB487C"/>
    <w:rsid w:val="00DB7455"/>
    <w:rsid w:val="00DC5293"/>
    <w:rsid w:val="00E10A49"/>
    <w:rsid w:val="00E34FA1"/>
    <w:rsid w:val="00E47944"/>
    <w:rsid w:val="00E50497"/>
    <w:rsid w:val="00E72DDB"/>
    <w:rsid w:val="00E7554F"/>
    <w:rsid w:val="00E75650"/>
    <w:rsid w:val="00E76249"/>
    <w:rsid w:val="00E76C2C"/>
    <w:rsid w:val="00E95DE1"/>
    <w:rsid w:val="00EA4B44"/>
    <w:rsid w:val="00EA7D54"/>
    <w:rsid w:val="00EB049A"/>
    <w:rsid w:val="00EC6C11"/>
    <w:rsid w:val="00ED721A"/>
    <w:rsid w:val="00EE4DF0"/>
    <w:rsid w:val="00EE633A"/>
    <w:rsid w:val="00EE6B89"/>
    <w:rsid w:val="00F24755"/>
    <w:rsid w:val="00F24B46"/>
    <w:rsid w:val="00F45079"/>
    <w:rsid w:val="00F509EE"/>
    <w:rsid w:val="00F5293B"/>
    <w:rsid w:val="00F67042"/>
    <w:rsid w:val="00F926CC"/>
    <w:rsid w:val="00FA21AB"/>
    <w:rsid w:val="00FA2633"/>
    <w:rsid w:val="00FA30BD"/>
    <w:rsid w:val="00FB200D"/>
    <w:rsid w:val="00FD01DC"/>
    <w:rsid w:val="00FD3D87"/>
    <w:rsid w:val="00FD6CAD"/>
    <w:rsid w:val="00FD6EBA"/>
    <w:rsid w:val="00FF357F"/>
    <w:rsid w:val="00FF6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6DA"/>
    <w:pPr>
      <w:jc w:val="both"/>
    </w:pPr>
    <w:rPr>
      <w:sz w:val="24"/>
    </w:rPr>
  </w:style>
  <w:style w:type="paragraph" w:styleId="Nadpis1">
    <w:name w:val="heading 1"/>
    <w:basedOn w:val="Normln"/>
    <w:next w:val="Normln"/>
    <w:qFormat/>
    <w:rsid w:val="003466DA"/>
    <w:pPr>
      <w:keepNext/>
      <w:spacing w:before="240" w:after="60"/>
      <w:outlineLvl w:val="0"/>
    </w:pPr>
    <w:rPr>
      <w:rFonts w:ascii="Arial" w:hAnsi="Arial"/>
      <w:b/>
      <w:kern w:val="28"/>
      <w:sz w:val="28"/>
    </w:rPr>
  </w:style>
  <w:style w:type="paragraph" w:styleId="Nadpis2">
    <w:name w:val="heading 2"/>
    <w:aliases w:val="nadpis 2"/>
    <w:basedOn w:val="Normln"/>
    <w:next w:val="Normln"/>
    <w:link w:val="Nadpis2Char"/>
    <w:qFormat/>
    <w:rsid w:val="00F509EE"/>
    <w:pPr>
      <w:keepNext/>
      <w:spacing w:before="240" w:after="120"/>
      <w:jc w:val="center"/>
      <w:outlineLvl w:val="1"/>
    </w:pPr>
    <w:rPr>
      <w:rFonts w:cs="Arial"/>
      <w:b/>
      <w:bCs/>
      <w:iCs/>
      <w:sz w:val="28"/>
      <w:szCs w:val="28"/>
    </w:rPr>
  </w:style>
  <w:style w:type="character" w:default="1" w:styleId="Standardnpsmoodstavce">
    <w:name w:val="Default Paragraph Font"/>
    <w:semiHidden/>
    <w:rsid w:val="003466D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466DA"/>
  </w:style>
  <w:style w:type="paragraph" w:styleId="Zhlav">
    <w:name w:val="header"/>
    <w:basedOn w:val="Normln"/>
    <w:semiHidden/>
    <w:rsid w:val="003466DA"/>
    <w:pPr>
      <w:tabs>
        <w:tab w:val="center" w:pos="4536"/>
        <w:tab w:val="right" w:pos="9072"/>
      </w:tabs>
    </w:pPr>
  </w:style>
  <w:style w:type="paragraph" w:customStyle="1" w:styleId="Textparagrafu">
    <w:name w:val="Text paragrafu"/>
    <w:basedOn w:val="Normln"/>
    <w:rsid w:val="003466DA"/>
    <w:pPr>
      <w:spacing w:before="240"/>
      <w:ind w:firstLine="425"/>
      <w:outlineLvl w:val="5"/>
    </w:pPr>
  </w:style>
  <w:style w:type="paragraph" w:customStyle="1" w:styleId="Paragraf">
    <w:name w:val="Paragraf"/>
    <w:basedOn w:val="Normln"/>
    <w:next w:val="Textodstavce"/>
    <w:rsid w:val="003466DA"/>
    <w:pPr>
      <w:keepNext/>
      <w:keepLines/>
      <w:spacing w:before="240"/>
      <w:jc w:val="center"/>
      <w:outlineLvl w:val="5"/>
    </w:pPr>
  </w:style>
  <w:style w:type="paragraph" w:customStyle="1" w:styleId="Oddl">
    <w:name w:val="Oddíl"/>
    <w:basedOn w:val="Normln"/>
    <w:next w:val="Nadpisoddlu"/>
    <w:rsid w:val="003466DA"/>
    <w:pPr>
      <w:keepNext/>
      <w:keepLines/>
      <w:spacing w:before="240"/>
      <w:jc w:val="center"/>
      <w:outlineLvl w:val="4"/>
    </w:pPr>
  </w:style>
  <w:style w:type="paragraph" w:customStyle="1" w:styleId="Nadpisoddlu">
    <w:name w:val="Nadpis oddílu"/>
    <w:basedOn w:val="Normln"/>
    <w:next w:val="Paragraf"/>
    <w:rsid w:val="003466DA"/>
    <w:pPr>
      <w:keepNext/>
      <w:keepLines/>
      <w:jc w:val="center"/>
      <w:outlineLvl w:val="4"/>
    </w:pPr>
    <w:rPr>
      <w:b/>
    </w:rPr>
  </w:style>
  <w:style w:type="paragraph" w:customStyle="1" w:styleId="Dl">
    <w:name w:val="Díl"/>
    <w:basedOn w:val="Normln"/>
    <w:next w:val="Nadpisdlu"/>
    <w:rsid w:val="003466DA"/>
    <w:pPr>
      <w:keepNext/>
      <w:keepLines/>
      <w:spacing w:before="240"/>
      <w:jc w:val="center"/>
      <w:outlineLvl w:val="3"/>
    </w:pPr>
  </w:style>
  <w:style w:type="paragraph" w:customStyle="1" w:styleId="Nadpisdlu">
    <w:name w:val="Nadpis dílu"/>
    <w:basedOn w:val="Normln"/>
    <w:next w:val="Oddl"/>
    <w:rsid w:val="003466DA"/>
    <w:pPr>
      <w:keepNext/>
      <w:keepLines/>
      <w:jc w:val="center"/>
      <w:outlineLvl w:val="3"/>
    </w:pPr>
    <w:rPr>
      <w:b/>
    </w:rPr>
  </w:style>
  <w:style w:type="paragraph" w:customStyle="1" w:styleId="Hlava">
    <w:name w:val="Hlava"/>
    <w:basedOn w:val="Normln"/>
    <w:next w:val="Nadpishlavy"/>
    <w:rsid w:val="003466DA"/>
    <w:pPr>
      <w:spacing w:before="240"/>
      <w:jc w:val="center"/>
      <w:outlineLvl w:val="2"/>
    </w:pPr>
  </w:style>
  <w:style w:type="paragraph" w:customStyle="1" w:styleId="Nadpishlavy">
    <w:name w:val="Nadpis hlavy"/>
    <w:basedOn w:val="Normln"/>
    <w:next w:val="Dl"/>
    <w:rsid w:val="003466DA"/>
    <w:pPr>
      <w:keepNext/>
      <w:keepLines/>
      <w:jc w:val="center"/>
      <w:outlineLvl w:val="2"/>
    </w:pPr>
    <w:rPr>
      <w:b/>
    </w:rPr>
  </w:style>
  <w:style w:type="paragraph" w:customStyle="1" w:styleId="ST">
    <w:name w:val="ČÁST"/>
    <w:basedOn w:val="Normln"/>
    <w:next w:val="NADPISSTI"/>
    <w:rsid w:val="003466DA"/>
    <w:pPr>
      <w:keepNext/>
      <w:keepLines/>
      <w:spacing w:before="240" w:after="120"/>
      <w:jc w:val="center"/>
      <w:outlineLvl w:val="1"/>
    </w:pPr>
    <w:rPr>
      <w:caps/>
    </w:rPr>
  </w:style>
  <w:style w:type="paragraph" w:customStyle="1" w:styleId="NADPISSTI">
    <w:name w:val="NADPIS ČÁSTI"/>
    <w:basedOn w:val="Normln"/>
    <w:next w:val="Hlava"/>
    <w:rsid w:val="003466DA"/>
    <w:pPr>
      <w:keepNext/>
      <w:keepLines/>
      <w:jc w:val="center"/>
      <w:outlineLvl w:val="1"/>
    </w:pPr>
    <w:rPr>
      <w:b/>
      <w:caps/>
    </w:rPr>
  </w:style>
  <w:style w:type="paragraph" w:customStyle="1" w:styleId="NAZENVLDY">
    <w:name w:val="NAŘÍZENÍ VLÁDY"/>
    <w:basedOn w:val="Normln"/>
    <w:next w:val="nadpisnazen"/>
    <w:rsid w:val="003466DA"/>
    <w:pPr>
      <w:keepNext/>
      <w:keepLines/>
      <w:jc w:val="center"/>
      <w:outlineLvl w:val="0"/>
    </w:pPr>
    <w:rPr>
      <w:b/>
      <w:caps/>
    </w:rPr>
  </w:style>
  <w:style w:type="paragraph" w:customStyle="1" w:styleId="nadpisnazen">
    <w:name w:val="nadpis nařízení"/>
    <w:basedOn w:val="Normln"/>
    <w:next w:val="Vlda"/>
    <w:rsid w:val="003466DA"/>
    <w:pPr>
      <w:keepNext/>
      <w:keepLines/>
      <w:spacing w:before="120"/>
      <w:jc w:val="center"/>
      <w:outlineLvl w:val="0"/>
    </w:pPr>
    <w:rPr>
      <w:b/>
    </w:rPr>
  </w:style>
  <w:style w:type="paragraph" w:customStyle="1" w:styleId="Vlda">
    <w:name w:val="Vláda"/>
    <w:basedOn w:val="Normln"/>
    <w:next w:val="ST"/>
    <w:rsid w:val="003466DA"/>
    <w:pPr>
      <w:keepNext/>
      <w:keepLines/>
      <w:spacing w:before="360" w:after="240"/>
    </w:pPr>
  </w:style>
  <w:style w:type="paragraph" w:customStyle="1" w:styleId="funkce">
    <w:name w:val="funkce"/>
    <w:basedOn w:val="Normln"/>
    <w:rsid w:val="003466DA"/>
    <w:pPr>
      <w:keepLines/>
      <w:jc w:val="center"/>
    </w:pPr>
  </w:style>
  <w:style w:type="paragraph" w:customStyle="1" w:styleId="Textbodu">
    <w:name w:val="Text bodu"/>
    <w:basedOn w:val="Normln"/>
    <w:rsid w:val="003466DA"/>
    <w:pPr>
      <w:numPr>
        <w:ilvl w:val="2"/>
        <w:numId w:val="1"/>
      </w:numPr>
      <w:outlineLvl w:val="8"/>
    </w:pPr>
  </w:style>
  <w:style w:type="paragraph" w:customStyle="1" w:styleId="Textpsmene">
    <w:name w:val="Text písmene"/>
    <w:basedOn w:val="Normln"/>
    <w:rsid w:val="003466DA"/>
    <w:pPr>
      <w:numPr>
        <w:ilvl w:val="1"/>
        <w:numId w:val="1"/>
      </w:numPr>
      <w:outlineLvl w:val="7"/>
    </w:pPr>
  </w:style>
  <w:style w:type="paragraph" w:customStyle="1" w:styleId="Textodstavce">
    <w:name w:val="Text odstavce"/>
    <w:basedOn w:val="Normln"/>
    <w:rsid w:val="003466DA"/>
    <w:pPr>
      <w:numPr>
        <w:numId w:val="1"/>
      </w:numPr>
      <w:tabs>
        <w:tab w:val="left" w:pos="851"/>
      </w:tabs>
      <w:spacing w:before="120" w:after="120"/>
      <w:outlineLvl w:val="6"/>
    </w:pPr>
  </w:style>
  <w:style w:type="character" w:styleId="slostrnky">
    <w:name w:val="page number"/>
    <w:basedOn w:val="Standardnpsmoodstavce"/>
    <w:semiHidden/>
    <w:rsid w:val="003466DA"/>
  </w:style>
  <w:style w:type="paragraph" w:styleId="Zpat">
    <w:name w:val="footer"/>
    <w:basedOn w:val="Normln"/>
    <w:semiHidden/>
    <w:rsid w:val="003466DA"/>
    <w:pPr>
      <w:tabs>
        <w:tab w:val="center" w:pos="4536"/>
        <w:tab w:val="right" w:pos="9072"/>
      </w:tabs>
    </w:pPr>
  </w:style>
  <w:style w:type="paragraph" w:styleId="Textpoznpodarou">
    <w:name w:val="footnote text"/>
    <w:basedOn w:val="Normln"/>
    <w:semiHidden/>
    <w:rsid w:val="003466DA"/>
    <w:pPr>
      <w:tabs>
        <w:tab w:val="left" w:pos="425"/>
      </w:tabs>
      <w:ind w:left="425" w:hanging="425"/>
    </w:pPr>
    <w:rPr>
      <w:sz w:val="20"/>
    </w:rPr>
  </w:style>
  <w:style w:type="character" w:styleId="Znakapoznpodarou">
    <w:name w:val="footnote reference"/>
    <w:basedOn w:val="Standardnpsmoodstavce"/>
    <w:semiHidden/>
    <w:rsid w:val="003466DA"/>
    <w:rPr>
      <w:vertAlign w:val="superscript"/>
    </w:rPr>
  </w:style>
  <w:style w:type="paragraph" w:styleId="Titulek">
    <w:name w:val="caption"/>
    <w:basedOn w:val="Normln"/>
    <w:next w:val="Normln"/>
    <w:qFormat/>
    <w:rsid w:val="003466DA"/>
    <w:pPr>
      <w:spacing w:before="120" w:after="120"/>
    </w:pPr>
    <w:rPr>
      <w:b/>
    </w:rPr>
  </w:style>
  <w:style w:type="paragraph" w:customStyle="1" w:styleId="Nvrh">
    <w:name w:val="Návrh"/>
    <w:basedOn w:val="Normln"/>
    <w:next w:val="NAZENVLDY"/>
    <w:rsid w:val="003466DA"/>
    <w:pPr>
      <w:keepNext/>
      <w:keepLines/>
      <w:spacing w:after="240"/>
      <w:jc w:val="center"/>
      <w:outlineLvl w:val="0"/>
    </w:pPr>
    <w:rPr>
      <w:spacing w:val="40"/>
    </w:rPr>
  </w:style>
  <w:style w:type="paragraph" w:customStyle="1" w:styleId="Podpis">
    <w:name w:val="Podpis_"/>
    <w:basedOn w:val="Normln"/>
    <w:next w:val="funkce"/>
    <w:rsid w:val="003466DA"/>
    <w:pPr>
      <w:keepNext/>
      <w:keepLines/>
      <w:spacing w:before="720"/>
      <w:jc w:val="center"/>
    </w:pPr>
  </w:style>
  <w:style w:type="paragraph" w:customStyle="1" w:styleId="Nadpisparagrafu">
    <w:name w:val="Nadpis paragrafu"/>
    <w:basedOn w:val="Paragraf"/>
    <w:next w:val="Textodstavce"/>
    <w:rsid w:val="003466DA"/>
    <w:rPr>
      <w:b/>
    </w:rPr>
  </w:style>
  <w:style w:type="paragraph" w:customStyle="1" w:styleId="VARIANTA">
    <w:name w:val="VARIANTA"/>
    <w:basedOn w:val="Normln"/>
    <w:next w:val="Normln"/>
    <w:rsid w:val="003466DA"/>
    <w:pPr>
      <w:keepNext/>
      <w:spacing w:before="120" w:after="120"/>
    </w:pPr>
    <w:rPr>
      <w:caps/>
      <w:spacing w:val="60"/>
    </w:rPr>
  </w:style>
  <w:style w:type="paragraph" w:customStyle="1" w:styleId="VARIANTA-konec">
    <w:name w:val="VARIANTA - konec"/>
    <w:basedOn w:val="Normln"/>
    <w:next w:val="Normln"/>
    <w:rsid w:val="003466DA"/>
    <w:rPr>
      <w:caps/>
      <w:spacing w:val="60"/>
    </w:rPr>
  </w:style>
  <w:style w:type="paragraph" w:customStyle="1" w:styleId="Novelizanbod">
    <w:name w:val="Novelizační bod"/>
    <w:basedOn w:val="Normln"/>
    <w:next w:val="Normln"/>
    <w:rsid w:val="003466DA"/>
    <w:pPr>
      <w:keepNext/>
      <w:keepLines/>
      <w:numPr>
        <w:numId w:val="2"/>
      </w:numPr>
      <w:tabs>
        <w:tab w:val="left" w:pos="851"/>
      </w:tabs>
      <w:spacing w:before="480" w:after="120"/>
    </w:pPr>
  </w:style>
  <w:style w:type="character" w:customStyle="1" w:styleId="Odkaznapoznpodarou">
    <w:name w:val="Odkaz na pozn. pod čarou"/>
    <w:basedOn w:val="Standardnpsmoodstavce"/>
    <w:rsid w:val="003466DA"/>
    <w:rPr>
      <w:vertAlign w:val="superscript"/>
    </w:rPr>
  </w:style>
  <w:style w:type="paragraph" w:customStyle="1" w:styleId="lnek">
    <w:name w:val="Článek"/>
    <w:basedOn w:val="Normln"/>
    <w:next w:val="Normln"/>
    <w:rsid w:val="003466DA"/>
    <w:pPr>
      <w:keepNext/>
      <w:keepLines/>
      <w:spacing w:before="240"/>
      <w:jc w:val="center"/>
      <w:outlineLvl w:val="5"/>
    </w:pPr>
  </w:style>
  <w:style w:type="paragraph" w:customStyle="1" w:styleId="Nadpislnku">
    <w:name w:val="Nadpis článku"/>
    <w:basedOn w:val="lnek"/>
    <w:next w:val="Normln"/>
    <w:rsid w:val="003466DA"/>
    <w:rPr>
      <w:b/>
    </w:rPr>
  </w:style>
  <w:style w:type="paragraph" w:customStyle="1" w:styleId="Textlnku">
    <w:name w:val="Text článku"/>
    <w:basedOn w:val="Normln"/>
    <w:rsid w:val="003466DA"/>
    <w:pPr>
      <w:spacing w:before="240"/>
      <w:ind w:firstLine="425"/>
      <w:outlineLvl w:val="5"/>
    </w:pPr>
  </w:style>
  <w:style w:type="paragraph" w:customStyle="1" w:styleId="Textbodunovely">
    <w:name w:val="Text bodu novely"/>
    <w:basedOn w:val="Normln"/>
    <w:next w:val="Normln"/>
    <w:rsid w:val="003466DA"/>
    <w:pPr>
      <w:ind w:left="567" w:hanging="567"/>
    </w:pPr>
  </w:style>
  <w:style w:type="character" w:customStyle="1" w:styleId="DvodovzprvaChar">
    <w:name w:val="Důvodová zpráva Char"/>
    <w:link w:val="Dvodovzprva"/>
    <w:uiPriority w:val="99"/>
    <w:locked/>
    <w:rsid w:val="00E72DDB"/>
    <w:rPr>
      <w:rFonts w:ascii="Arial" w:hAnsi="Arial"/>
      <w:color w:val="0000FF"/>
    </w:rPr>
  </w:style>
  <w:style w:type="paragraph" w:customStyle="1" w:styleId="Dvodovzprva">
    <w:name w:val="Důvodová zpráva"/>
    <w:basedOn w:val="Normln"/>
    <w:link w:val="DvodovzprvaChar"/>
    <w:uiPriority w:val="99"/>
    <w:rsid w:val="00E72DDB"/>
    <w:pPr>
      <w:keepNext/>
      <w:spacing w:before="120"/>
      <w:outlineLvl w:val="0"/>
    </w:pPr>
    <w:rPr>
      <w:rFonts w:ascii="Arial" w:hAnsi="Arial"/>
      <w:color w:val="0000FF"/>
      <w:sz w:val="20"/>
    </w:rPr>
  </w:style>
  <w:style w:type="paragraph" w:styleId="Odstavecseseznamem">
    <w:name w:val="List Paragraph"/>
    <w:basedOn w:val="Normln"/>
    <w:uiPriority w:val="34"/>
    <w:qFormat/>
    <w:rsid w:val="00EE4DF0"/>
    <w:pPr>
      <w:ind w:left="720"/>
      <w:contextualSpacing/>
    </w:pPr>
  </w:style>
  <w:style w:type="paragraph" w:styleId="Textbubliny">
    <w:name w:val="Balloon Text"/>
    <w:basedOn w:val="Normln"/>
    <w:link w:val="TextbublinyChar"/>
    <w:uiPriority w:val="99"/>
    <w:semiHidden/>
    <w:unhideWhenUsed/>
    <w:rsid w:val="00B17AFE"/>
    <w:rPr>
      <w:rFonts w:ascii="Tahoma" w:hAnsi="Tahoma" w:cs="Tahoma"/>
      <w:sz w:val="16"/>
      <w:szCs w:val="16"/>
    </w:rPr>
  </w:style>
  <w:style w:type="character" w:customStyle="1" w:styleId="TextbublinyChar">
    <w:name w:val="Text bubliny Char"/>
    <w:basedOn w:val="Standardnpsmoodstavce"/>
    <w:link w:val="Textbubliny"/>
    <w:uiPriority w:val="99"/>
    <w:semiHidden/>
    <w:rsid w:val="00B17AFE"/>
    <w:rPr>
      <w:rFonts w:ascii="Tahoma" w:hAnsi="Tahoma" w:cs="Tahoma"/>
      <w:sz w:val="16"/>
      <w:szCs w:val="16"/>
    </w:rPr>
  </w:style>
  <w:style w:type="character" w:styleId="Odkaznakoment">
    <w:name w:val="annotation reference"/>
    <w:basedOn w:val="Standardnpsmoodstavce"/>
    <w:uiPriority w:val="99"/>
    <w:semiHidden/>
    <w:unhideWhenUsed/>
    <w:rsid w:val="0078111A"/>
    <w:rPr>
      <w:sz w:val="16"/>
      <w:szCs w:val="16"/>
    </w:rPr>
  </w:style>
  <w:style w:type="paragraph" w:styleId="Textkomente">
    <w:name w:val="annotation text"/>
    <w:basedOn w:val="Normln"/>
    <w:link w:val="TextkomenteChar"/>
    <w:uiPriority w:val="99"/>
    <w:semiHidden/>
    <w:unhideWhenUsed/>
    <w:rsid w:val="0078111A"/>
    <w:rPr>
      <w:sz w:val="20"/>
    </w:rPr>
  </w:style>
  <w:style w:type="character" w:customStyle="1" w:styleId="TextkomenteChar">
    <w:name w:val="Text komentáře Char"/>
    <w:basedOn w:val="Standardnpsmoodstavce"/>
    <w:link w:val="Textkomente"/>
    <w:uiPriority w:val="99"/>
    <w:semiHidden/>
    <w:rsid w:val="0078111A"/>
  </w:style>
  <w:style w:type="paragraph" w:styleId="Pedmtkomente">
    <w:name w:val="annotation subject"/>
    <w:basedOn w:val="Textkomente"/>
    <w:next w:val="Textkomente"/>
    <w:link w:val="PedmtkomenteChar"/>
    <w:uiPriority w:val="99"/>
    <w:semiHidden/>
    <w:unhideWhenUsed/>
    <w:rsid w:val="0078111A"/>
    <w:rPr>
      <w:b/>
      <w:bCs/>
    </w:rPr>
  </w:style>
  <w:style w:type="character" w:customStyle="1" w:styleId="PedmtkomenteChar">
    <w:name w:val="Předmět komentáře Char"/>
    <w:basedOn w:val="TextkomenteChar"/>
    <w:link w:val="Pedmtkomente"/>
    <w:uiPriority w:val="99"/>
    <w:semiHidden/>
    <w:rsid w:val="0078111A"/>
    <w:rPr>
      <w:b/>
      <w:bCs/>
    </w:rPr>
  </w:style>
  <w:style w:type="character" w:customStyle="1" w:styleId="Nadpis2Char">
    <w:name w:val="Nadpis 2 Char"/>
    <w:aliases w:val="nadpis 2 Char"/>
    <w:basedOn w:val="Standardnpsmoodstavce"/>
    <w:link w:val="Nadpis2"/>
    <w:rsid w:val="00F509EE"/>
    <w:rPr>
      <w:rFonts w:cs="Arial"/>
      <w:b/>
      <w:bCs/>
      <w:iCs/>
      <w:sz w:val="28"/>
      <w:szCs w:val="28"/>
    </w:rPr>
  </w:style>
  <w:style w:type="paragraph" w:styleId="Revize">
    <w:name w:val="Revision"/>
    <w:hidden/>
    <w:uiPriority w:val="99"/>
    <w:semiHidden/>
    <w:rsid w:val="0070671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6DA"/>
    <w:pPr>
      <w:jc w:val="both"/>
    </w:pPr>
    <w:rPr>
      <w:sz w:val="24"/>
    </w:rPr>
  </w:style>
  <w:style w:type="paragraph" w:styleId="Nadpis1">
    <w:name w:val="heading 1"/>
    <w:basedOn w:val="Normln"/>
    <w:next w:val="Normln"/>
    <w:qFormat/>
    <w:rsid w:val="003466DA"/>
    <w:pPr>
      <w:keepNext/>
      <w:spacing w:before="240" w:after="60"/>
      <w:outlineLvl w:val="0"/>
    </w:pPr>
    <w:rPr>
      <w:rFonts w:ascii="Arial" w:hAnsi="Arial"/>
      <w:b/>
      <w:kern w:val="28"/>
      <w:sz w:val="28"/>
    </w:rPr>
  </w:style>
  <w:style w:type="paragraph" w:styleId="Nadpis2">
    <w:name w:val="heading 2"/>
    <w:aliases w:val="nadpis 2"/>
    <w:basedOn w:val="Normln"/>
    <w:next w:val="Normln"/>
    <w:link w:val="Nadpis2Char"/>
    <w:qFormat/>
    <w:rsid w:val="00F509EE"/>
    <w:pPr>
      <w:keepNext/>
      <w:spacing w:before="240" w:after="120"/>
      <w:jc w:val="center"/>
      <w:outlineLvl w:val="1"/>
    </w:pPr>
    <w:rPr>
      <w:rFonts w:cs="Arial"/>
      <w:b/>
      <w:bCs/>
      <w:iCs/>
      <w:sz w:val="28"/>
      <w:szCs w:val="28"/>
    </w:rPr>
  </w:style>
  <w:style w:type="character" w:default="1" w:styleId="Standardnpsmoodstavce">
    <w:name w:val="Default Paragraph Font"/>
    <w:semiHidden/>
    <w:rsid w:val="003466D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466DA"/>
  </w:style>
  <w:style w:type="paragraph" w:styleId="Zhlav">
    <w:name w:val="header"/>
    <w:basedOn w:val="Normln"/>
    <w:semiHidden/>
    <w:rsid w:val="003466DA"/>
    <w:pPr>
      <w:tabs>
        <w:tab w:val="center" w:pos="4536"/>
        <w:tab w:val="right" w:pos="9072"/>
      </w:tabs>
    </w:pPr>
  </w:style>
  <w:style w:type="paragraph" w:customStyle="1" w:styleId="Textparagrafu">
    <w:name w:val="Text paragrafu"/>
    <w:basedOn w:val="Normln"/>
    <w:rsid w:val="003466DA"/>
    <w:pPr>
      <w:spacing w:before="240"/>
      <w:ind w:firstLine="425"/>
      <w:outlineLvl w:val="5"/>
    </w:pPr>
  </w:style>
  <w:style w:type="paragraph" w:customStyle="1" w:styleId="Paragraf">
    <w:name w:val="Paragraf"/>
    <w:basedOn w:val="Normln"/>
    <w:next w:val="Textodstavce"/>
    <w:rsid w:val="003466DA"/>
    <w:pPr>
      <w:keepNext/>
      <w:keepLines/>
      <w:spacing w:before="240"/>
      <w:jc w:val="center"/>
      <w:outlineLvl w:val="5"/>
    </w:pPr>
  </w:style>
  <w:style w:type="paragraph" w:customStyle="1" w:styleId="Oddl">
    <w:name w:val="Oddíl"/>
    <w:basedOn w:val="Normln"/>
    <w:next w:val="Nadpisoddlu"/>
    <w:rsid w:val="003466DA"/>
    <w:pPr>
      <w:keepNext/>
      <w:keepLines/>
      <w:spacing w:before="240"/>
      <w:jc w:val="center"/>
      <w:outlineLvl w:val="4"/>
    </w:pPr>
  </w:style>
  <w:style w:type="paragraph" w:customStyle="1" w:styleId="Nadpisoddlu">
    <w:name w:val="Nadpis oddílu"/>
    <w:basedOn w:val="Normln"/>
    <w:next w:val="Paragraf"/>
    <w:rsid w:val="003466DA"/>
    <w:pPr>
      <w:keepNext/>
      <w:keepLines/>
      <w:jc w:val="center"/>
      <w:outlineLvl w:val="4"/>
    </w:pPr>
    <w:rPr>
      <w:b/>
    </w:rPr>
  </w:style>
  <w:style w:type="paragraph" w:customStyle="1" w:styleId="Dl">
    <w:name w:val="Díl"/>
    <w:basedOn w:val="Normln"/>
    <w:next w:val="Nadpisdlu"/>
    <w:rsid w:val="003466DA"/>
    <w:pPr>
      <w:keepNext/>
      <w:keepLines/>
      <w:spacing w:before="240"/>
      <w:jc w:val="center"/>
      <w:outlineLvl w:val="3"/>
    </w:pPr>
  </w:style>
  <w:style w:type="paragraph" w:customStyle="1" w:styleId="Nadpisdlu">
    <w:name w:val="Nadpis dílu"/>
    <w:basedOn w:val="Normln"/>
    <w:next w:val="Oddl"/>
    <w:rsid w:val="003466DA"/>
    <w:pPr>
      <w:keepNext/>
      <w:keepLines/>
      <w:jc w:val="center"/>
      <w:outlineLvl w:val="3"/>
    </w:pPr>
    <w:rPr>
      <w:b/>
    </w:rPr>
  </w:style>
  <w:style w:type="paragraph" w:customStyle="1" w:styleId="Hlava">
    <w:name w:val="Hlava"/>
    <w:basedOn w:val="Normln"/>
    <w:next w:val="Nadpishlavy"/>
    <w:rsid w:val="003466DA"/>
    <w:pPr>
      <w:spacing w:before="240"/>
      <w:jc w:val="center"/>
      <w:outlineLvl w:val="2"/>
    </w:pPr>
  </w:style>
  <w:style w:type="paragraph" w:customStyle="1" w:styleId="Nadpishlavy">
    <w:name w:val="Nadpis hlavy"/>
    <w:basedOn w:val="Normln"/>
    <w:next w:val="Dl"/>
    <w:rsid w:val="003466DA"/>
    <w:pPr>
      <w:keepNext/>
      <w:keepLines/>
      <w:jc w:val="center"/>
      <w:outlineLvl w:val="2"/>
    </w:pPr>
    <w:rPr>
      <w:b/>
    </w:rPr>
  </w:style>
  <w:style w:type="paragraph" w:customStyle="1" w:styleId="ST">
    <w:name w:val="ČÁST"/>
    <w:basedOn w:val="Normln"/>
    <w:next w:val="NADPISSTI"/>
    <w:rsid w:val="003466DA"/>
    <w:pPr>
      <w:keepNext/>
      <w:keepLines/>
      <w:spacing w:before="240" w:after="120"/>
      <w:jc w:val="center"/>
      <w:outlineLvl w:val="1"/>
    </w:pPr>
    <w:rPr>
      <w:caps/>
    </w:rPr>
  </w:style>
  <w:style w:type="paragraph" w:customStyle="1" w:styleId="NADPISSTI">
    <w:name w:val="NADPIS ČÁSTI"/>
    <w:basedOn w:val="Normln"/>
    <w:next w:val="Hlava"/>
    <w:rsid w:val="003466DA"/>
    <w:pPr>
      <w:keepNext/>
      <w:keepLines/>
      <w:jc w:val="center"/>
      <w:outlineLvl w:val="1"/>
    </w:pPr>
    <w:rPr>
      <w:b/>
      <w:caps/>
    </w:rPr>
  </w:style>
  <w:style w:type="paragraph" w:customStyle="1" w:styleId="NAZENVLDY">
    <w:name w:val="NAŘÍZENÍ VLÁDY"/>
    <w:basedOn w:val="Normln"/>
    <w:next w:val="nadpisnazen"/>
    <w:rsid w:val="003466DA"/>
    <w:pPr>
      <w:keepNext/>
      <w:keepLines/>
      <w:jc w:val="center"/>
      <w:outlineLvl w:val="0"/>
    </w:pPr>
    <w:rPr>
      <w:b/>
      <w:caps/>
    </w:rPr>
  </w:style>
  <w:style w:type="paragraph" w:customStyle="1" w:styleId="nadpisnazen">
    <w:name w:val="nadpis nařízení"/>
    <w:basedOn w:val="Normln"/>
    <w:next w:val="Vlda"/>
    <w:rsid w:val="003466DA"/>
    <w:pPr>
      <w:keepNext/>
      <w:keepLines/>
      <w:spacing w:before="120"/>
      <w:jc w:val="center"/>
      <w:outlineLvl w:val="0"/>
    </w:pPr>
    <w:rPr>
      <w:b/>
    </w:rPr>
  </w:style>
  <w:style w:type="paragraph" w:customStyle="1" w:styleId="Vlda">
    <w:name w:val="Vláda"/>
    <w:basedOn w:val="Normln"/>
    <w:next w:val="ST"/>
    <w:rsid w:val="003466DA"/>
    <w:pPr>
      <w:keepNext/>
      <w:keepLines/>
      <w:spacing w:before="360" w:after="240"/>
    </w:pPr>
  </w:style>
  <w:style w:type="paragraph" w:customStyle="1" w:styleId="funkce">
    <w:name w:val="funkce"/>
    <w:basedOn w:val="Normln"/>
    <w:rsid w:val="003466DA"/>
    <w:pPr>
      <w:keepLines/>
      <w:jc w:val="center"/>
    </w:pPr>
  </w:style>
  <w:style w:type="paragraph" w:customStyle="1" w:styleId="Textbodu">
    <w:name w:val="Text bodu"/>
    <w:basedOn w:val="Normln"/>
    <w:rsid w:val="003466DA"/>
    <w:pPr>
      <w:numPr>
        <w:ilvl w:val="2"/>
        <w:numId w:val="1"/>
      </w:numPr>
      <w:outlineLvl w:val="8"/>
    </w:pPr>
  </w:style>
  <w:style w:type="paragraph" w:customStyle="1" w:styleId="Textpsmene">
    <w:name w:val="Text písmene"/>
    <w:basedOn w:val="Normln"/>
    <w:rsid w:val="003466DA"/>
    <w:pPr>
      <w:numPr>
        <w:ilvl w:val="1"/>
        <w:numId w:val="1"/>
      </w:numPr>
      <w:outlineLvl w:val="7"/>
    </w:pPr>
  </w:style>
  <w:style w:type="paragraph" w:customStyle="1" w:styleId="Textodstavce">
    <w:name w:val="Text odstavce"/>
    <w:basedOn w:val="Normln"/>
    <w:rsid w:val="003466DA"/>
    <w:pPr>
      <w:numPr>
        <w:numId w:val="1"/>
      </w:numPr>
      <w:tabs>
        <w:tab w:val="left" w:pos="851"/>
      </w:tabs>
      <w:spacing w:before="120" w:after="120"/>
      <w:outlineLvl w:val="6"/>
    </w:pPr>
  </w:style>
  <w:style w:type="character" w:styleId="slostrnky">
    <w:name w:val="page number"/>
    <w:basedOn w:val="Standardnpsmoodstavce"/>
    <w:semiHidden/>
    <w:rsid w:val="003466DA"/>
  </w:style>
  <w:style w:type="paragraph" w:styleId="Zpat">
    <w:name w:val="footer"/>
    <w:basedOn w:val="Normln"/>
    <w:semiHidden/>
    <w:rsid w:val="003466DA"/>
    <w:pPr>
      <w:tabs>
        <w:tab w:val="center" w:pos="4536"/>
        <w:tab w:val="right" w:pos="9072"/>
      </w:tabs>
    </w:pPr>
  </w:style>
  <w:style w:type="paragraph" w:styleId="Textpoznpodarou">
    <w:name w:val="footnote text"/>
    <w:basedOn w:val="Normln"/>
    <w:semiHidden/>
    <w:rsid w:val="003466DA"/>
    <w:pPr>
      <w:tabs>
        <w:tab w:val="left" w:pos="425"/>
      </w:tabs>
      <w:ind w:left="425" w:hanging="425"/>
    </w:pPr>
    <w:rPr>
      <w:sz w:val="20"/>
    </w:rPr>
  </w:style>
  <w:style w:type="character" w:styleId="Znakapoznpodarou">
    <w:name w:val="footnote reference"/>
    <w:basedOn w:val="Standardnpsmoodstavce"/>
    <w:semiHidden/>
    <w:rsid w:val="003466DA"/>
    <w:rPr>
      <w:vertAlign w:val="superscript"/>
    </w:rPr>
  </w:style>
  <w:style w:type="paragraph" w:styleId="Titulek">
    <w:name w:val="caption"/>
    <w:basedOn w:val="Normln"/>
    <w:next w:val="Normln"/>
    <w:qFormat/>
    <w:rsid w:val="003466DA"/>
    <w:pPr>
      <w:spacing w:before="120" w:after="120"/>
    </w:pPr>
    <w:rPr>
      <w:b/>
    </w:rPr>
  </w:style>
  <w:style w:type="paragraph" w:customStyle="1" w:styleId="Nvrh">
    <w:name w:val="Návrh"/>
    <w:basedOn w:val="Normln"/>
    <w:next w:val="NAZENVLDY"/>
    <w:rsid w:val="003466DA"/>
    <w:pPr>
      <w:keepNext/>
      <w:keepLines/>
      <w:spacing w:after="240"/>
      <w:jc w:val="center"/>
      <w:outlineLvl w:val="0"/>
    </w:pPr>
    <w:rPr>
      <w:spacing w:val="40"/>
    </w:rPr>
  </w:style>
  <w:style w:type="paragraph" w:customStyle="1" w:styleId="Podpis">
    <w:name w:val="Podpis_"/>
    <w:basedOn w:val="Normln"/>
    <w:next w:val="funkce"/>
    <w:rsid w:val="003466DA"/>
    <w:pPr>
      <w:keepNext/>
      <w:keepLines/>
      <w:spacing w:before="720"/>
      <w:jc w:val="center"/>
    </w:pPr>
  </w:style>
  <w:style w:type="paragraph" w:customStyle="1" w:styleId="Nadpisparagrafu">
    <w:name w:val="Nadpis paragrafu"/>
    <w:basedOn w:val="Paragraf"/>
    <w:next w:val="Textodstavce"/>
    <w:rsid w:val="003466DA"/>
    <w:rPr>
      <w:b/>
    </w:rPr>
  </w:style>
  <w:style w:type="paragraph" w:customStyle="1" w:styleId="VARIANTA">
    <w:name w:val="VARIANTA"/>
    <w:basedOn w:val="Normln"/>
    <w:next w:val="Normln"/>
    <w:rsid w:val="003466DA"/>
    <w:pPr>
      <w:keepNext/>
      <w:spacing w:before="120" w:after="120"/>
    </w:pPr>
    <w:rPr>
      <w:caps/>
      <w:spacing w:val="60"/>
    </w:rPr>
  </w:style>
  <w:style w:type="paragraph" w:customStyle="1" w:styleId="VARIANTA-konec">
    <w:name w:val="VARIANTA - konec"/>
    <w:basedOn w:val="Normln"/>
    <w:next w:val="Normln"/>
    <w:rsid w:val="003466DA"/>
    <w:rPr>
      <w:caps/>
      <w:spacing w:val="60"/>
    </w:rPr>
  </w:style>
  <w:style w:type="paragraph" w:customStyle="1" w:styleId="Novelizanbod">
    <w:name w:val="Novelizační bod"/>
    <w:basedOn w:val="Normln"/>
    <w:next w:val="Normln"/>
    <w:rsid w:val="003466DA"/>
    <w:pPr>
      <w:keepNext/>
      <w:keepLines/>
      <w:numPr>
        <w:numId w:val="2"/>
      </w:numPr>
      <w:tabs>
        <w:tab w:val="left" w:pos="851"/>
      </w:tabs>
      <w:spacing w:before="480" w:after="120"/>
    </w:pPr>
  </w:style>
  <w:style w:type="character" w:customStyle="1" w:styleId="Odkaznapoznpodarou">
    <w:name w:val="Odkaz na pozn. pod čarou"/>
    <w:basedOn w:val="Standardnpsmoodstavce"/>
    <w:rsid w:val="003466DA"/>
    <w:rPr>
      <w:vertAlign w:val="superscript"/>
    </w:rPr>
  </w:style>
  <w:style w:type="paragraph" w:customStyle="1" w:styleId="lnek">
    <w:name w:val="Článek"/>
    <w:basedOn w:val="Normln"/>
    <w:next w:val="Normln"/>
    <w:rsid w:val="003466DA"/>
    <w:pPr>
      <w:keepNext/>
      <w:keepLines/>
      <w:spacing w:before="240"/>
      <w:jc w:val="center"/>
      <w:outlineLvl w:val="5"/>
    </w:pPr>
  </w:style>
  <w:style w:type="paragraph" w:customStyle="1" w:styleId="Nadpislnku">
    <w:name w:val="Nadpis článku"/>
    <w:basedOn w:val="lnek"/>
    <w:next w:val="Normln"/>
    <w:rsid w:val="003466DA"/>
    <w:rPr>
      <w:b/>
    </w:rPr>
  </w:style>
  <w:style w:type="paragraph" w:customStyle="1" w:styleId="Textlnku">
    <w:name w:val="Text článku"/>
    <w:basedOn w:val="Normln"/>
    <w:rsid w:val="003466DA"/>
    <w:pPr>
      <w:spacing w:before="240"/>
      <w:ind w:firstLine="425"/>
      <w:outlineLvl w:val="5"/>
    </w:pPr>
  </w:style>
  <w:style w:type="paragraph" w:customStyle="1" w:styleId="Textbodunovely">
    <w:name w:val="Text bodu novely"/>
    <w:basedOn w:val="Normln"/>
    <w:next w:val="Normln"/>
    <w:rsid w:val="003466DA"/>
    <w:pPr>
      <w:ind w:left="567" w:hanging="567"/>
    </w:pPr>
  </w:style>
  <w:style w:type="character" w:customStyle="1" w:styleId="DvodovzprvaChar">
    <w:name w:val="Důvodová zpráva Char"/>
    <w:link w:val="Dvodovzprva"/>
    <w:uiPriority w:val="99"/>
    <w:locked/>
    <w:rsid w:val="00E72DDB"/>
    <w:rPr>
      <w:rFonts w:ascii="Arial" w:hAnsi="Arial"/>
      <w:color w:val="0000FF"/>
    </w:rPr>
  </w:style>
  <w:style w:type="paragraph" w:customStyle="1" w:styleId="Dvodovzprva">
    <w:name w:val="Důvodová zpráva"/>
    <w:basedOn w:val="Normln"/>
    <w:link w:val="DvodovzprvaChar"/>
    <w:uiPriority w:val="99"/>
    <w:rsid w:val="00E72DDB"/>
    <w:pPr>
      <w:keepNext/>
      <w:spacing w:before="120"/>
      <w:outlineLvl w:val="0"/>
    </w:pPr>
    <w:rPr>
      <w:rFonts w:ascii="Arial" w:hAnsi="Arial"/>
      <w:color w:val="0000FF"/>
      <w:sz w:val="20"/>
    </w:rPr>
  </w:style>
  <w:style w:type="paragraph" w:styleId="Odstavecseseznamem">
    <w:name w:val="List Paragraph"/>
    <w:basedOn w:val="Normln"/>
    <w:uiPriority w:val="34"/>
    <w:qFormat/>
    <w:rsid w:val="00EE4DF0"/>
    <w:pPr>
      <w:ind w:left="720"/>
      <w:contextualSpacing/>
    </w:pPr>
  </w:style>
  <w:style w:type="paragraph" w:styleId="Textbubliny">
    <w:name w:val="Balloon Text"/>
    <w:basedOn w:val="Normln"/>
    <w:link w:val="TextbublinyChar"/>
    <w:uiPriority w:val="99"/>
    <w:semiHidden/>
    <w:unhideWhenUsed/>
    <w:rsid w:val="00B17AFE"/>
    <w:rPr>
      <w:rFonts w:ascii="Tahoma" w:hAnsi="Tahoma" w:cs="Tahoma"/>
      <w:sz w:val="16"/>
      <w:szCs w:val="16"/>
    </w:rPr>
  </w:style>
  <w:style w:type="character" w:customStyle="1" w:styleId="TextbublinyChar">
    <w:name w:val="Text bubliny Char"/>
    <w:basedOn w:val="Standardnpsmoodstavce"/>
    <w:link w:val="Textbubliny"/>
    <w:uiPriority w:val="99"/>
    <w:semiHidden/>
    <w:rsid w:val="00B17AFE"/>
    <w:rPr>
      <w:rFonts w:ascii="Tahoma" w:hAnsi="Tahoma" w:cs="Tahoma"/>
      <w:sz w:val="16"/>
      <w:szCs w:val="16"/>
    </w:rPr>
  </w:style>
  <w:style w:type="character" w:styleId="Odkaznakoment">
    <w:name w:val="annotation reference"/>
    <w:basedOn w:val="Standardnpsmoodstavce"/>
    <w:uiPriority w:val="99"/>
    <w:semiHidden/>
    <w:unhideWhenUsed/>
    <w:rsid w:val="0078111A"/>
    <w:rPr>
      <w:sz w:val="16"/>
      <w:szCs w:val="16"/>
    </w:rPr>
  </w:style>
  <w:style w:type="paragraph" w:styleId="Textkomente">
    <w:name w:val="annotation text"/>
    <w:basedOn w:val="Normln"/>
    <w:link w:val="TextkomenteChar"/>
    <w:uiPriority w:val="99"/>
    <w:semiHidden/>
    <w:unhideWhenUsed/>
    <w:rsid w:val="0078111A"/>
    <w:rPr>
      <w:sz w:val="20"/>
    </w:rPr>
  </w:style>
  <w:style w:type="character" w:customStyle="1" w:styleId="TextkomenteChar">
    <w:name w:val="Text komentáře Char"/>
    <w:basedOn w:val="Standardnpsmoodstavce"/>
    <w:link w:val="Textkomente"/>
    <w:uiPriority w:val="99"/>
    <w:semiHidden/>
    <w:rsid w:val="0078111A"/>
  </w:style>
  <w:style w:type="paragraph" w:styleId="Pedmtkomente">
    <w:name w:val="annotation subject"/>
    <w:basedOn w:val="Textkomente"/>
    <w:next w:val="Textkomente"/>
    <w:link w:val="PedmtkomenteChar"/>
    <w:uiPriority w:val="99"/>
    <w:semiHidden/>
    <w:unhideWhenUsed/>
    <w:rsid w:val="0078111A"/>
    <w:rPr>
      <w:b/>
      <w:bCs/>
    </w:rPr>
  </w:style>
  <w:style w:type="character" w:customStyle="1" w:styleId="PedmtkomenteChar">
    <w:name w:val="Předmět komentáře Char"/>
    <w:basedOn w:val="TextkomenteChar"/>
    <w:link w:val="Pedmtkomente"/>
    <w:uiPriority w:val="99"/>
    <w:semiHidden/>
    <w:rsid w:val="0078111A"/>
    <w:rPr>
      <w:b/>
      <w:bCs/>
    </w:rPr>
  </w:style>
  <w:style w:type="character" w:customStyle="1" w:styleId="Nadpis2Char">
    <w:name w:val="Nadpis 2 Char"/>
    <w:aliases w:val="nadpis 2 Char"/>
    <w:basedOn w:val="Standardnpsmoodstavce"/>
    <w:link w:val="Nadpis2"/>
    <w:rsid w:val="00F509EE"/>
    <w:rPr>
      <w:rFonts w:cs="Arial"/>
      <w:b/>
      <w:bCs/>
      <w:iCs/>
      <w:sz w:val="28"/>
      <w:szCs w:val="28"/>
    </w:rPr>
  </w:style>
  <w:style w:type="paragraph" w:styleId="Revize">
    <w:name w:val="Revision"/>
    <w:hidden/>
    <w:uiPriority w:val="99"/>
    <w:semiHidden/>
    <w:rsid w:val="007067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74561">
      <w:bodyDiv w:val="1"/>
      <w:marLeft w:val="0"/>
      <w:marRight w:val="0"/>
      <w:marTop w:val="0"/>
      <w:marBottom w:val="0"/>
      <w:divBdr>
        <w:top w:val="none" w:sz="0" w:space="0" w:color="auto"/>
        <w:left w:val="none" w:sz="0" w:space="0" w:color="auto"/>
        <w:bottom w:val="none" w:sz="0" w:space="0" w:color="auto"/>
        <w:right w:val="none" w:sz="0" w:space="0" w:color="auto"/>
      </w:divBdr>
      <w:divsChild>
        <w:div w:id="1975408153">
          <w:marLeft w:val="0"/>
          <w:marRight w:val="0"/>
          <w:marTop w:val="0"/>
          <w:marBottom w:val="0"/>
          <w:divBdr>
            <w:top w:val="none" w:sz="0" w:space="0" w:color="auto"/>
            <w:left w:val="none" w:sz="0" w:space="0" w:color="auto"/>
            <w:bottom w:val="none" w:sz="0" w:space="0" w:color="auto"/>
            <w:right w:val="none" w:sz="0" w:space="0" w:color="auto"/>
          </w:divBdr>
          <w:divsChild>
            <w:div w:id="1632515913">
              <w:marLeft w:val="0"/>
              <w:marRight w:val="0"/>
              <w:marTop w:val="0"/>
              <w:marBottom w:val="0"/>
              <w:divBdr>
                <w:top w:val="none" w:sz="0" w:space="0" w:color="auto"/>
                <w:left w:val="none" w:sz="0" w:space="0" w:color="auto"/>
                <w:bottom w:val="none" w:sz="0" w:space="0" w:color="auto"/>
                <w:right w:val="none" w:sz="0" w:space="0" w:color="auto"/>
              </w:divBdr>
              <w:divsChild>
                <w:div w:id="1319502864">
                  <w:marLeft w:val="0"/>
                  <w:marRight w:val="0"/>
                  <w:marTop w:val="0"/>
                  <w:marBottom w:val="0"/>
                  <w:divBdr>
                    <w:top w:val="none" w:sz="0" w:space="0" w:color="auto"/>
                    <w:left w:val="none" w:sz="0" w:space="0" w:color="auto"/>
                    <w:bottom w:val="none" w:sz="0" w:space="0" w:color="auto"/>
                    <w:right w:val="none" w:sz="0" w:space="0" w:color="auto"/>
                  </w:divBdr>
                  <w:divsChild>
                    <w:div w:id="1290670126">
                      <w:marLeft w:val="0"/>
                      <w:marRight w:val="0"/>
                      <w:marTop w:val="0"/>
                      <w:marBottom w:val="0"/>
                      <w:divBdr>
                        <w:top w:val="none" w:sz="0" w:space="0" w:color="auto"/>
                        <w:left w:val="none" w:sz="0" w:space="0" w:color="auto"/>
                        <w:bottom w:val="none" w:sz="0" w:space="0" w:color="auto"/>
                        <w:right w:val="none" w:sz="0" w:space="0" w:color="auto"/>
                      </w:divBdr>
                      <w:divsChild>
                        <w:div w:id="936520749">
                          <w:marLeft w:val="0"/>
                          <w:marRight w:val="0"/>
                          <w:marTop w:val="0"/>
                          <w:marBottom w:val="0"/>
                          <w:divBdr>
                            <w:top w:val="none" w:sz="0" w:space="0" w:color="auto"/>
                            <w:left w:val="none" w:sz="0" w:space="0" w:color="auto"/>
                            <w:bottom w:val="none" w:sz="0" w:space="0" w:color="auto"/>
                            <w:right w:val="none" w:sz="0" w:space="0" w:color="auto"/>
                          </w:divBdr>
                          <w:divsChild>
                            <w:div w:id="1834565124">
                              <w:marLeft w:val="0"/>
                              <w:marRight w:val="0"/>
                              <w:marTop w:val="0"/>
                              <w:marBottom w:val="0"/>
                              <w:divBdr>
                                <w:top w:val="none" w:sz="0" w:space="0" w:color="auto"/>
                                <w:left w:val="none" w:sz="0" w:space="0" w:color="auto"/>
                                <w:bottom w:val="none" w:sz="0" w:space="0" w:color="auto"/>
                                <w:right w:val="none" w:sz="0" w:space="0" w:color="auto"/>
                              </w:divBdr>
                              <w:divsChild>
                                <w:div w:id="2443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439570">
      <w:bodyDiv w:val="1"/>
      <w:marLeft w:val="0"/>
      <w:marRight w:val="0"/>
      <w:marTop w:val="0"/>
      <w:marBottom w:val="0"/>
      <w:divBdr>
        <w:top w:val="none" w:sz="0" w:space="0" w:color="auto"/>
        <w:left w:val="none" w:sz="0" w:space="0" w:color="auto"/>
        <w:bottom w:val="none" w:sz="0" w:space="0" w:color="auto"/>
        <w:right w:val="none" w:sz="0" w:space="0" w:color="auto"/>
      </w:divBdr>
    </w:div>
    <w:div w:id="15907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blony\Legislativa%20-%20n&#225;vrh\LN_Narizeni.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6EC28-9CBB-4F35-AC30-D842015D7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LN_Narizeni</Template>
  <TotalTime>14</TotalTime>
  <Pages>6</Pages>
  <Words>2395</Words>
  <Characters>13334</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nařízení vlády</vt:lpstr>
    </vt:vector>
  </TitlesOfParts>
  <Company>Ministerstvo financí</Company>
  <LinksUpToDate>false</LinksUpToDate>
  <CharactersWithSpaces>15698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Dudková Lenka, Mgr.</dc:creator>
  <dc:description>Dokument původně založený na šabloně LN_Narizeni verze 1.1</dc:description>
  <cp:lastModifiedBy>Majkútová Kateřina</cp:lastModifiedBy>
  <cp:revision>8</cp:revision>
  <cp:lastPrinted>2014-07-15T14:48:00Z</cp:lastPrinted>
  <dcterms:created xsi:type="dcterms:W3CDTF">2014-09-24T16:50:00Z</dcterms:created>
  <dcterms:modified xsi:type="dcterms:W3CDTF">2014-09-25T09:30:00Z</dcterms:modified>
</cp:coreProperties>
</file>