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CD8" w:rsidRPr="00D07591" w:rsidRDefault="00694CD8" w:rsidP="007B7A95">
      <w:pPr>
        <w:jc w:val="center"/>
        <w:rPr>
          <w:rFonts w:ascii="Georgia" w:hAnsi="Georgia"/>
          <w:noProof/>
          <w:sz w:val="32"/>
          <w:szCs w:val="32"/>
        </w:rPr>
      </w:pPr>
      <w:r w:rsidRPr="00210A3F">
        <w:rPr>
          <w:rFonts w:ascii="Georgia" w:hAnsi="Georgia"/>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IDEA_logo" style="width:372pt;height:81.75pt;visibility:visible">
            <v:imagedata r:id="rId7" o:title=""/>
          </v:shape>
        </w:pict>
      </w:r>
    </w:p>
    <w:p w:rsidR="00694CD8" w:rsidRPr="00D07591" w:rsidRDefault="00694CD8" w:rsidP="007B7A95">
      <w:pPr>
        <w:pBdr>
          <w:bottom w:val="single" w:sz="4" w:space="1" w:color="auto"/>
        </w:pBdr>
        <w:jc w:val="center"/>
        <w:outlineLvl w:val="0"/>
        <w:rPr>
          <w:rFonts w:ascii="Georgia" w:hAnsi="Georgia"/>
          <w:i/>
        </w:rPr>
      </w:pPr>
      <w:r w:rsidRPr="00D07591">
        <w:rPr>
          <w:rFonts w:ascii="Georgia" w:hAnsi="Georgia"/>
          <w:i/>
        </w:rPr>
        <w:t>Studie pro potřeby Ministerstva financí ČR</w:t>
      </w:r>
    </w:p>
    <w:p w:rsidR="00694CD8" w:rsidRPr="00D07591" w:rsidRDefault="00694CD8" w:rsidP="007B7A95">
      <w:pPr>
        <w:ind w:right="-180"/>
        <w:jc w:val="center"/>
        <w:rPr>
          <w:rFonts w:ascii="Georgia" w:hAnsi="Georgia"/>
          <w:sz w:val="32"/>
          <w:szCs w:val="32"/>
        </w:rPr>
      </w:pPr>
      <w:r w:rsidRPr="00D07591">
        <w:rPr>
          <w:rFonts w:ascii="Georgia" w:hAnsi="Georgia"/>
          <w:sz w:val="32"/>
          <w:szCs w:val="32"/>
        </w:rPr>
        <w:t>Podklady k návrhu zákona o veřejných pojistných a správě daně z příjmu fyzických osob</w:t>
      </w:r>
    </w:p>
    <w:p w:rsidR="00694CD8" w:rsidRPr="00D07591" w:rsidRDefault="00694CD8" w:rsidP="007B7A95">
      <w:pPr>
        <w:jc w:val="center"/>
        <w:rPr>
          <w:rFonts w:ascii="Georgia" w:hAnsi="Georgia"/>
          <w:smallCaps/>
        </w:rPr>
      </w:pPr>
      <w:r>
        <w:rPr>
          <w:rFonts w:ascii="Georgia" w:hAnsi="Georgia"/>
          <w:smallCaps/>
        </w:rPr>
        <w:t>21</w:t>
      </w:r>
      <w:r w:rsidRPr="00D07591">
        <w:rPr>
          <w:rFonts w:ascii="Georgia" w:hAnsi="Georgia"/>
          <w:smallCaps/>
        </w:rPr>
        <w:t>.12. 2012</w:t>
      </w:r>
    </w:p>
    <w:p w:rsidR="00694CD8" w:rsidRPr="00D07591" w:rsidRDefault="00694CD8" w:rsidP="007B7A95">
      <w:pPr>
        <w:pBdr>
          <w:bottom w:val="single" w:sz="4" w:space="1" w:color="auto"/>
        </w:pBdr>
        <w:jc w:val="center"/>
        <w:rPr>
          <w:rFonts w:ascii="Georgia" w:hAnsi="Georgia"/>
          <w:smallCaps/>
        </w:rPr>
      </w:pPr>
      <w:r w:rsidRPr="00D07591">
        <w:rPr>
          <w:rFonts w:ascii="Georgia" w:hAnsi="Georgia"/>
          <w:smallCaps/>
        </w:rPr>
        <w:t>Jiří Šatava, Libor Dušek</w:t>
      </w:r>
      <w:r w:rsidRPr="00D07591">
        <w:rPr>
          <w:rStyle w:val="FootnoteReference"/>
          <w:rFonts w:ascii="Georgia" w:hAnsi="Georgia"/>
        </w:rPr>
        <w:footnoteReference w:id="1"/>
      </w:r>
    </w:p>
    <w:p w:rsidR="00694CD8" w:rsidRPr="00D07591" w:rsidRDefault="00694CD8" w:rsidP="002D52ED">
      <w:pPr>
        <w:spacing w:after="120" w:line="240" w:lineRule="auto"/>
        <w:jc w:val="both"/>
        <w:rPr>
          <w:b/>
          <w:sz w:val="24"/>
          <w:szCs w:val="24"/>
        </w:rPr>
      </w:pPr>
      <w:r w:rsidRPr="00D07591">
        <w:rPr>
          <w:b/>
          <w:sz w:val="24"/>
          <w:szCs w:val="24"/>
        </w:rPr>
        <w:t>Shrnutí</w:t>
      </w:r>
    </w:p>
    <w:p w:rsidR="00694CD8" w:rsidRPr="00D07591" w:rsidRDefault="00694CD8" w:rsidP="002D52ED">
      <w:pPr>
        <w:spacing w:after="120" w:line="240" w:lineRule="auto"/>
        <w:jc w:val="both"/>
      </w:pPr>
      <w:r w:rsidRPr="00D07591">
        <w:t xml:space="preserve">Studie analyzuje vybrané aspekty návrhu zákona o veřejných pojistných a správě daní z příjmu fyzických osob. Byla vypracována na základě smlouvy o dílo </w:t>
      </w:r>
      <w:r>
        <w:t xml:space="preserve">ze dne 28.11.2012 </w:t>
      </w:r>
      <w:r w:rsidRPr="00D07591">
        <w:t xml:space="preserve">a odráží návrh zákona. Jednotlivé analyzované aspekty a hlavní zjištění jsou následující: </w:t>
      </w:r>
    </w:p>
    <w:p w:rsidR="00694CD8" w:rsidRPr="00D07591" w:rsidRDefault="00694CD8" w:rsidP="006E48A9">
      <w:pPr>
        <w:pStyle w:val="ListParagraph"/>
        <w:numPr>
          <w:ilvl w:val="0"/>
          <w:numId w:val="8"/>
        </w:numPr>
        <w:spacing w:after="120" w:line="240" w:lineRule="auto"/>
        <w:ind w:left="426" w:hanging="426"/>
        <w:jc w:val="both"/>
      </w:pPr>
      <w:r w:rsidRPr="00D07591">
        <w:t>Změna pojistného období u zaměstnanců sníží pojistné na zdravotní pojištění o 1 057 milionů korun. Více jak 90 % tohoto snížení je způsobeno snížením pojistného u zaměstnanců, kteří byli část roku bez zdanitelných příjmů. Zbytek pak poklesem pojistného u zaměstnanců, kteří část roku vykonávali hlavní samostatnou výdělečnou činnost. Tento pokles však bude kompenzován zvýšením pojistného u osob, které byly celý rok bez zdanitelných příjmů a na něž se uplatňuje minimální základ pojistného.</w:t>
      </w:r>
    </w:p>
    <w:p w:rsidR="00694CD8" w:rsidRPr="00D07591" w:rsidRDefault="00694CD8" w:rsidP="006E48A9">
      <w:pPr>
        <w:pStyle w:val="ListParagraph"/>
        <w:numPr>
          <w:ilvl w:val="0"/>
          <w:numId w:val="8"/>
        </w:numPr>
        <w:spacing w:after="120" w:line="240" w:lineRule="auto"/>
        <w:ind w:left="426" w:hanging="426"/>
        <w:jc w:val="both"/>
      </w:pPr>
      <w:r w:rsidRPr="00D07591">
        <w:t xml:space="preserve">Zrušení libovolného základu sociálního pojištění u samostatně výdělečně činných osob má minimální dopad, jelikož drtivé většině osob se dobrovolně navyšovat základ sociálního pojištění nevyplatí. Samostatně výdělečné osoby, pro které je výhodné jeho navyšování, pak s největší pravděpodobností netvoří dostatečné úspory, aby mohli základ důchodového pojištění dobrovolně navyšovat. </w:t>
      </w:r>
    </w:p>
    <w:p w:rsidR="00694CD8" w:rsidRPr="00D07591" w:rsidRDefault="00694CD8" w:rsidP="006E48A9">
      <w:pPr>
        <w:pStyle w:val="ListParagraph"/>
        <w:numPr>
          <w:ilvl w:val="0"/>
          <w:numId w:val="8"/>
        </w:numPr>
        <w:spacing w:after="120" w:line="240" w:lineRule="auto"/>
        <w:ind w:left="426" w:hanging="426"/>
        <w:jc w:val="both"/>
      </w:pPr>
      <w:r w:rsidRPr="00D07591">
        <w:t>Dopad změny výpočtu záloh osob samostatně výdělečně činných na sociální a důchodové pojištění způsobí pokles měsíčních záloh o 78 milionů (zdravotní pojištění) respektive 170 milionů (sociální pojištění). Jde o pokles přibližně 0,5 promile z ročního objemu vybraného pojistného. Jde však pouze o pokles cash-flow v průběhu roku, nikoli o pokles pojistného. Případné rozdíly mezi pojistným a zálohami budou vyrovnány na konci kalendářního roku.</w:t>
      </w:r>
    </w:p>
    <w:p w:rsidR="00694CD8" w:rsidRPr="00D07591" w:rsidRDefault="00694CD8" w:rsidP="006E48A9">
      <w:pPr>
        <w:pStyle w:val="ListParagraph"/>
        <w:numPr>
          <w:ilvl w:val="0"/>
          <w:numId w:val="8"/>
        </w:numPr>
        <w:spacing w:after="120" w:line="240" w:lineRule="auto"/>
        <w:ind w:left="426" w:hanging="426"/>
        <w:jc w:val="both"/>
      </w:pPr>
      <w:r w:rsidRPr="00D07591">
        <w:t>Zavedení denního minimálního základu zdravotního pojištění má s nejvyšší pravděpodobností minimální vliv na výši pojistného na zdravotní pojištění.</w:t>
      </w:r>
    </w:p>
    <w:p w:rsidR="00694CD8" w:rsidRDefault="00694CD8" w:rsidP="002D52ED">
      <w:pPr>
        <w:pStyle w:val="ListParagraph"/>
        <w:numPr>
          <w:ilvl w:val="0"/>
          <w:numId w:val="8"/>
        </w:numPr>
        <w:spacing w:after="120" w:line="240" w:lineRule="auto"/>
        <w:ind w:left="426" w:hanging="426"/>
        <w:jc w:val="both"/>
        <w:sectPr w:rsidR="00694CD8" w:rsidSect="005D42BB">
          <w:headerReference w:type="default" r:id="rId8"/>
          <w:footerReference w:type="default" r:id="rId9"/>
          <w:pgSz w:w="11907" w:h="16839" w:code="9"/>
          <w:pgMar w:top="1440" w:right="1080" w:bottom="1440" w:left="1080" w:header="708" w:footer="708" w:gutter="0"/>
          <w:cols w:space="708"/>
          <w:docGrid w:linePitch="360"/>
        </w:sectPr>
      </w:pPr>
      <w:r w:rsidRPr="00D07591">
        <w:t xml:space="preserve">Pojistné z úhrnu mezd může zvýšit pojistné na zdravotní pojištění až o 368 milionů a až o 2 569 milionů korun pojistné na sociální pojištění za předpokladu, že společnosti nebudou daňově optimalizovat. Pro nárůst výběru pojistného je nezbytné posuzovat překročení maximálního základu na úrovni celé společnosti a nikoli na úrovni pokladny společnosti. Vytvoření pojistného z úhrnu mezd je téměř ekvivalentní zrušení maximálních základů pro výpočet pojistného placeného zaměstnavatelem. Maximální základ na úrovni společnosti je totiž pro drtivou většinu společností v případě, kdy nebude možné tvořit základ na úrovni pokladny případně jinak daňově optimalizovat, nedosažitelný. Nárůst pojistného je tak způsoben praktickým zrušením maximálních základů pro výpočet pojistného placeného zaměstnavatelem. </w:t>
      </w:r>
    </w:p>
    <w:p w:rsidR="00694CD8" w:rsidRPr="00D07591" w:rsidRDefault="00694CD8" w:rsidP="002D52ED">
      <w:pPr>
        <w:spacing w:after="120" w:line="240" w:lineRule="auto"/>
        <w:jc w:val="both"/>
        <w:rPr>
          <w:b/>
          <w:sz w:val="24"/>
          <w:szCs w:val="24"/>
        </w:rPr>
      </w:pPr>
      <w:r w:rsidRPr="00D07591">
        <w:rPr>
          <w:b/>
          <w:sz w:val="24"/>
          <w:szCs w:val="24"/>
        </w:rPr>
        <w:t>1. Změna pojistného období z měsíčního na roční</w:t>
      </w:r>
    </w:p>
    <w:p w:rsidR="00694CD8" w:rsidRPr="00D07591" w:rsidRDefault="00694CD8" w:rsidP="002D52ED">
      <w:pPr>
        <w:spacing w:after="120" w:line="240" w:lineRule="auto"/>
        <w:jc w:val="both"/>
      </w:pPr>
      <w:r w:rsidRPr="00D07591">
        <w:t xml:space="preserve">Návrh zákona mění pojistné období u zaměstnanců z měsíčního na roční. Tato změna se projeví u zdravotního pojištění 1) osob, které byly část roku zaměstnanci a část roku osoby bez zdanitelných příjmů a 2) osob, které byly během jednoho kalendářního roku zaměstnanci i osobami samostatně výdělečně činnými, přičemž jejich základ pojistného ze samostatné činnosti byl pod minimálním základem. </w:t>
      </w:r>
    </w:p>
    <w:p w:rsidR="00694CD8" w:rsidRPr="00D07591" w:rsidRDefault="00694CD8" w:rsidP="002D52ED">
      <w:pPr>
        <w:spacing w:after="120" w:line="240" w:lineRule="auto"/>
        <w:jc w:val="both"/>
      </w:pPr>
      <w:r w:rsidRPr="00D07591">
        <w:t xml:space="preserve">V současnosti osoby uvedené v bodu 1) odvádí pojistné za každý měsíc zvlášť a každý měsíc, byť neměly žádné zdanitelné příjmy, musí odvést pojistné z alespoň minimálního základu. Dle návrhu zákona budou zaměstnanci odvádět pojistné za celý rok a roční základ pojistného musí převyšovat minimální roční základ. Jednotlivci tak nebudou muset odvádět pojistné z minimálního základu v měsících, kdy neměli žádné zdanitelné příjmy, pokud součet jejich zdanitelných příjmů z ostatních měsíců převýší minimální roční základ pojistného. </w:t>
      </w:r>
      <w:r w:rsidRPr="00D07591">
        <w:rPr>
          <w:rFonts w:cs="Tahoma"/>
        </w:rPr>
        <w:t>Pojistné u osob z bodu 2) se pak sníží za situace, kdy celkový základ pojistného za kalendářní rok (součet základů pojistného ze samostatné činnosti a zaměstnání) převýší minimální základ pojistného, nicméně samotný základ pojistného ze samostatné činnosti je pod minimálním základem.</w:t>
      </w:r>
    </w:p>
    <w:p w:rsidR="00694CD8" w:rsidRPr="00D07591" w:rsidRDefault="00694CD8" w:rsidP="002D52ED">
      <w:pPr>
        <w:spacing w:after="120" w:line="240" w:lineRule="auto"/>
        <w:jc w:val="both"/>
      </w:pPr>
      <w:r w:rsidRPr="00D07591">
        <w:rPr>
          <w:b/>
        </w:rPr>
        <w:t>Tato úprava sníží výši vybraného pojistného na zdravotní pojištění o 1 058 milionů korun</w:t>
      </w:r>
      <w:r w:rsidRPr="00D07591">
        <w:t xml:space="preserve">. V důsledku snížení pojistného u zaměstnanců, kteří byli část roku bez zdanitelných příjmů, dojde ke snížení o 985 milionů korun. Změna pojistného u jednotlivců, kteří byli část roku zaměstnanci a část roku osoby samostatně výdělečně činné, způsobí pokles pojistného na zdravotní pojištění o </w:t>
      </w:r>
      <w:r w:rsidRPr="00D07591">
        <w:rPr>
          <w:color w:val="000000"/>
        </w:rPr>
        <w:t xml:space="preserve">73 </w:t>
      </w:r>
      <w:r w:rsidRPr="00D07591">
        <w:t>milionů korun. K těmto závěrům jsme dospěli z údajů databáze SILC-EU (Statistics on Income and Living conditions)</w:t>
      </w:r>
      <w:r w:rsidRPr="00D07591">
        <w:rPr>
          <w:rStyle w:val="FootnoteReference"/>
        </w:rPr>
        <w:footnoteReference w:id="2"/>
      </w:r>
      <w:r w:rsidRPr="00D07591">
        <w:t xml:space="preserve">, která obsahuje přibližně 20 tisíc jednotlivců a váhy, určující relativní zastoupení těchto jednotlivců v celé populaci ČR. </w:t>
      </w:r>
    </w:p>
    <w:p w:rsidR="00694CD8" w:rsidRPr="00D07591" w:rsidRDefault="00694CD8" w:rsidP="002D52ED">
      <w:pPr>
        <w:spacing w:after="120" w:line="240" w:lineRule="auto"/>
        <w:jc w:val="both"/>
        <w:rPr>
          <w:b/>
        </w:rPr>
      </w:pPr>
      <w:r w:rsidRPr="00D07591">
        <w:rPr>
          <w:b/>
        </w:rPr>
        <w:t>Zaměstnanci alespoň jeden měsíc bez zdanitelných příjmů a pokles pojistného</w:t>
      </w:r>
    </w:p>
    <w:p w:rsidR="00694CD8" w:rsidRPr="00D07591" w:rsidRDefault="00694CD8" w:rsidP="002D52ED">
      <w:pPr>
        <w:spacing w:after="120" w:line="240" w:lineRule="auto"/>
        <w:jc w:val="both"/>
      </w:pPr>
      <w:r w:rsidRPr="00D07591">
        <w:t>V České republice v roce 2010 z celkového počtu přibližně 3,794 milionů jednotlivců, kteří byli zaměstnáni alespoň měsíc, téměř 83 % bylo zaměstnáno plných 12 měsíců, a proto se jich tato úprava nijak nedotkne. Relativní četnosti zaměstnanců, kteří pracovali 1 až 11 měsíců, jsou relativně podobné. Nepatrně více jednotlivců bylo zaměstnáno 6 měsíců, naopak relativně méně pak 1 nebo 2 měsíce.</w:t>
      </w:r>
    </w:p>
    <w:p w:rsidR="00694CD8" w:rsidRPr="00D07591" w:rsidRDefault="00694CD8" w:rsidP="002D52ED">
      <w:pPr>
        <w:pStyle w:val="Caption"/>
        <w:keepNext/>
      </w:pPr>
      <w:r w:rsidRPr="00D07591">
        <w:t>Tabulka 1.1: Počet měsíců zaměstnání v roce u osob, které byly alespoň měsíc v daném roce zaměstnanci</w:t>
      </w:r>
    </w:p>
    <w:tbl>
      <w:tblPr>
        <w:tblW w:w="7580" w:type="dxa"/>
        <w:tblInd w:w="55" w:type="dxa"/>
        <w:tblCellMar>
          <w:left w:w="70" w:type="dxa"/>
          <w:right w:w="70" w:type="dxa"/>
        </w:tblCellMar>
        <w:tblLook w:val="00A0"/>
      </w:tblPr>
      <w:tblGrid>
        <w:gridCol w:w="1400"/>
        <w:gridCol w:w="2060"/>
        <w:gridCol w:w="2060"/>
        <w:gridCol w:w="2060"/>
      </w:tblGrid>
      <w:tr w:rsidR="00694CD8" w:rsidRPr="00D9298C" w:rsidTr="00887CFA">
        <w:trPr>
          <w:trHeight w:val="585"/>
        </w:trPr>
        <w:tc>
          <w:tcPr>
            <w:tcW w:w="1400" w:type="dxa"/>
            <w:tcBorders>
              <w:top w:val="single" w:sz="12" w:space="0" w:color="auto"/>
              <w:left w:val="nil"/>
              <w:bottom w:val="nil"/>
              <w:right w:val="nil"/>
            </w:tcBorders>
            <w:vAlign w:val="center"/>
          </w:tcPr>
          <w:p w:rsidR="00694CD8" w:rsidRPr="00D07591" w:rsidRDefault="00694CD8" w:rsidP="002D52ED">
            <w:pPr>
              <w:spacing w:after="0" w:line="240" w:lineRule="auto"/>
              <w:jc w:val="center"/>
              <w:rPr>
                <w:color w:val="000000"/>
              </w:rPr>
            </w:pPr>
            <w:r w:rsidRPr="00D07591">
              <w:rPr>
                <w:color w:val="000000"/>
              </w:rPr>
              <w:t>počet měsíců zaměstnání</w:t>
            </w:r>
          </w:p>
        </w:tc>
        <w:tc>
          <w:tcPr>
            <w:tcW w:w="2060" w:type="dxa"/>
            <w:tcBorders>
              <w:top w:val="single" w:sz="12" w:space="0" w:color="auto"/>
              <w:left w:val="nil"/>
              <w:bottom w:val="nil"/>
              <w:right w:val="nil"/>
            </w:tcBorders>
            <w:vAlign w:val="center"/>
          </w:tcPr>
          <w:p w:rsidR="00694CD8" w:rsidRPr="00D07591" w:rsidRDefault="00694CD8" w:rsidP="002D52ED">
            <w:pPr>
              <w:spacing w:after="0" w:line="240" w:lineRule="auto"/>
              <w:jc w:val="center"/>
              <w:rPr>
                <w:color w:val="000000"/>
              </w:rPr>
            </w:pPr>
            <w:r w:rsidRPr="00D07591">
              <w:rPr>
                <w:color w:val="000000"/>
              </w:rPr>
              <w:t>počet zaměstnanců absolutně</w:t>
            </w:r>
          </w:p>
        </w:tc>
        <w:tc>
          <w:tcPr>
            <w:tcW w:w="2060" w:type="dxa"/>
            <w:tcBorders>
              <w:top w:val="single" w:sz="12" w:space="0" w:color="auto"/>
              <w:left w:val="nil"/>
              <w:bottom w:val="nil"/>
              <w:right w:val="nil"/>
            </w:tcBorders>
            <w:vAlign w:val="center"/>
          </w:tcPr>
          <w:p w:rsidR="00694CD8" w:rsidRPr="00D07591" w:rsidRDefault="00694CD8" w:rsidP="002D52ED">
            <w:pPr>
              <w:spacing w:after="0" w:line="240" w:lineRule="auto"/>
              <w:jc w:val="center"/>
              <w:rPr>
                <w:color w:val="000000"/>
              </w:rPr>
            </w:pPr>
            <w:r w:rsidRPr="00D07591">
              <w:rPr>
                <w:color w:val="000000"/>
              </w:rPr>
              <w:t>počet zaměstnanců v procentech</w:t>
            </w:r>
          </w:p>
        </w:tc>
        <w:tc>
          <w:tcPr>
            <w:tcW w:w="2060" w:type="dxa"/>
            <w:tcBorders>
              <w:top w:val="single" w:sz="12" w:space="0" w:color="auto"/>
              <w:left w:val="nil"/>
              <w:bottom w:val="nil"/>
              <w:right w:val="nil"/>
            </w:tcBorders>
            <w:vAlign w:val="center"/>
          </w:tcPr>
          <w:p w:rsidR="00694CD8" w:rsidRPr="00D07591" w:rsidRDefault="00694CD8" w:rsidP="002D52ED">
            <w:pPr>
              <w:spacing w:after="0" w:line="240" w:lineRule="auto"/>
              <w:jc w:val="center"/>
              <w:rPr>
                <w:color w:val="000000"/>
              </w:rPr>
            </w:pPr>
            <w:r w:rsidRPr="00D07591">
              <w:rPr>
                <w:color w:val="000000"/>
              </w:rPr>
              <w:t xml:space="preserve">počet zaměstnanců </w:t>
            </w:r>
            <w:r w:rsidRPr="00D9298C">
              <w:t>v procentech</w:t>
            </w:r>
          </w:p>
        </w:tc>
      </w:tr>
      <w:tr w:rsidR="00694CD8" w:rsidRPr="00D9298C" w:rsidTr="00887CFA">
        <w:trPr>
          <w:trHeight w:val="315"/>
        </w:trPr>
        <w:tc>
          <w:tcPr>
            <w:tcW w:w="1400" w:type="dxa"/>
            <w:tcBorders>
              <w:top w:val="single" w:sz="12" w:space="0" w:color="auto"/>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w:t>
            </w:r>
          </w:p>
        </w:tc>
        <w:tc>
          <w:tcPr>
            <w:tcW w:w="2060" w:type="dxa"/>
            <w:tcBorders>
              <w:top w:val="single" w:sz="12" w:space="0" w:color="auto"/>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32 715</w:t>
            </w:r>
          </w:p>
        </w:tc>
        <w:tc>
          <w:tcPr>
            <w:tcW w:w="2060" w:type="dxa"/>
            <w:tcBorders>
              <w:top w:val="single" w:sz="12" w:space="0" w:color="auto"/>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0,86</w:t>
            </w:r>
          </w:p>
        </w:tc>
        <w:tc>
          <w:tcPr>
            <w:tcW w:w="2060" w:type="dxa"/>
            <w:vMerge w:val="restart"/>
            <w:tcBorders>
              <w:top w:val="single" w:sz="12" w:space="0" w:color="auto"/>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17,35</w:t>
            </w:r>
          </w:p>
        </w:tc>
      </w:tr>
      <w:tr w:rsidR="00694CD8" w:rsidRPr="00D9298C" w:rsidTr="00887CFA">
        <w:trPr>
          <w:trHeight w:val="300"/>
        </w:trPr>
        <w:tc>
          <w:tcPr>
            <w:tcW w:w="140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2</w:t>
            </w:r>
          </w:p>
        </w:tc>
        <w:tc>
          <w:tcPr>
            <w:tcW w:w="206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34 402</w:t>
            </w:r>
          </w:p>
        </w:tc>
        <w:tc>
          <w:tcPr>
            <w:tcW w:w="206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0,91</w:t>
            </w:r>
          </w:p>
        </w:tc>
        <w:tc>
          <w:tcPr>
            <w:tcW w:w="2060" w:type="dxa"/>
            <w:vMerge/>
            <w:tcBorders>
              <w:top w:val="single" w:sz="12" w:space="0" w:color="auto"/>
              <w:left w:val="nil"/>
              <w:bottom w:val="nil"/>
              <w:right w:val="nil"/>
            </w:tcBorders>
            <w:vAlign w:val="center"/>
          </w:tcPr>
          <w:p w:rsidR="00694CD8" w:rsidRPr="00D07591" w:rsidRDefault="00694CD8" w:rsidP="002D52ED">
            <w:pPr>
              <w:spacing w:after="0" w:line="240" w:lineRule="auto"/>
              <w:rPr>
                <w:color w:val="000000"/>
              </w:rPr>
            </w:pPr>
          </w:p>
        </w:tc>
      </w:tr>
      <w:tr w:rsidR="00694CD8" w:rsidRPr="00D9298C" w:rsidTr="00887CFA">
        <w:trPr>
          <w:trHeight w:val="300"/>
        </w:trPr>
        <w:tc>
          <w:tcPr>
            <w:tcW w:w="140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3</w:t>
            </w:r>
          </w:p>
        </w:tc>
        <w:tc>
          <w:tcPr>
            <w:tcW w:w="206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65 107</w:t>
            </w:r>
          </w:p>
        </w:tc>
        <w:tc>
          <w:tcPr>
            <w:tcW w:w="206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1,72</w:t>
            </w:r>
          </w:p>
        </w:tc>
        <w:tc>
          <w:tcPr>
            <w:tcW w:w="2060" w:type="dxa"/>
            <w:vMerge/>
            <w:tcBorders>
              <w:top w:val="single" w:sz="12" w:space="0" w:color="auto"/>
              <w:left w:val="nil"/>
              <w:bottom w:val="nil"/>
              <w:right w:val="nil"/>
            </w:tcBorders>
            <w:vAlign w:val="center"/>
          </w:tcPr>
          <w:p w:rsidR="00694CD8" w:rsidRPr="00D07591" w:rsidRDefault="00694CD8" w:rsidP="002D52ED">
            <w:pPr>
              <w:spacing w:after="0" w:line="240" w:lineRule="auto"/>
              <w:rPr>
                <w:color w:val="000000"/>
              </w:rPr>
            </w:pPr>
          </w:p>
        </w:tc>
      </w:tr>
      <w:tr w:rsidR="00694CD8" w:rsidRPr="00D9298C" w:rsidTr="00887CFA">
        <w:trPr>
          <w:trHeight w:val="300"/>
        </w:trPr>
        <w:tc>
          <w:tcPr>
            <w:tcW w:w="140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4</w:t>
            </w:r>
          </w:p>
        </w:tc>
        <w:tc>
          <w:tcPr>
            <w:tcW w:w="206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73 995</w:t>
            </w:r>
          </w:p>
        </w:tc>
        <w:tc>
          <w:tcPr>
            <w:tcW w:w="206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1,95</w:t>
            </w:r>
          </w:p>
        </w:tc>
        <w:tc>
          <w:tcPr>
            <w:tcW w:w="2060" w:type="dxa"/>
            <w:vMerge/>
            <w:tcBorders>
              <w:top w:val="single" w:sz="12" w:space="0" w:color="auto"/>
              <w:left w:val="nil"/>
              <w:bottom w:val="nil"/>
              <w:right w:val="nil"/>
            </w:tcBorders>
            <w:vAlign w:val="center"/>
          </w:tcPr>
          <w:p w:rsidR="00694CD8" w:rsidRPr="00D07591" w:rsidRDefault="00694CD8" w:rsidP="002D52ED">
            <w:pPr>
              <w:spacing w:after="0" w:line="240" w:lineRule="auto"/>
              <w:rPr>
                <w:color w:val="000000"/>
              </w:rPr>
            </w:pPr>
          </w:p>
        </w:tc>
      </w:tr>
      <w:tr w:rsidR="00694CD8" w:rsidRPr="00D9298C" w:rsidTr="00887CFA">
        <w:trPr>
          <w:trHeight w:val="300"/>
        </w:trPr>
        <w:tc>
          <w:tcPr>
            <w:tcW w:w="140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5</w:t>
            </w:r>
          </w:p>
        </w:tc>
        <w:tc>
          <w:tcPr>
            <w:tcW w:w="206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52 470</w:t>
            </w:r>
          </w:p>
        </w:tc>
        <w:tc>
          <w:tcPr>
            <w:tcW w:w="206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1,38</w:t>
            </w:r>
          </w:p>
        </w:tc>
        <w:tc>
          <w:tcPr>
            <w:tcW w:w="2060" w:type="dxa"/>
            <w:vMerge/>
            <w:tcBorders>
              <w:top w:val="single" w:sz="12" w:space="0" w:color="auto"/>
              <w:left w:val="nil"/>
              <w:bottom w:val="nil"/>
              <w:right w:val="nil"/>
            </w:tcBorders>
            <w:vAlign w:val="center"/>
          </w:tcPr>
          <w:p w:rsidR="00694CD8" w:rsidRPr="00D07591" w:rsidRDefault="00694CD8" w:rsidP="002D52ED">
            <w:pPr>
              <w:spacing w:after="0" w:line="240" w:lineRule="auto"/>
              <w:rPr>
                <w:color w:val="000000"/>
              </w:rPr>
            </w:pPr>
          </w:p>
        </w:tc>
      </w:tr>
      <w:tr w:rsidR="00694CD8" w:rsidRPr="00D9298C" w:rsidTr="00887CFA">
        <w:trPr>
          <w:trHeight w:val="300"/>
        </w:trPr>
        <w:tc>
          <w:tcPr>
            <w:tcW w:w="140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6</w:t>
            </w:r>
          </w:p>
        </w:tc>
        <w:tc>
          <w:tcPr>
            <w:tcW w:w="206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87 361</w:t>
            </w:r>
          </w:p>
        </w:tc>
        <w:tc>
          <w:tcPr>
            <w:tcW w:w="206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2,30</w:t>
            </w:r>
          </w:p>
        </w:tc>
        <w:tc>
          <w:tcPr>
            <w:tcW w:w="2060" w:type="dxa"/>
            <w:vMerge/>
            <w:tcBorders>
              <w:top w:val="single" w:sz="12" w:space="0" w:color="auto"/>
              <w:left w:val="nil"/>
              <w:bottom w:val="nil"/>
              <w:right w:val="nil"/>
            </w:tcBorders>
            <w:vAlign w:val="center"/>
          </w:tcPr>
          <w:p w:rsidR="00694CD8" w:rsidRPr="00D07591" w:rsidRDefault="00694CD8" w:rsidP="002D52ED">
            <w:pPr>
              <w:spacing w:after="0" w:line="240" w:lineRule="auto"/>
              <w:rPr>
                <w:color w:val="000000"/>
              </w:rPr>
            </w:pPr>
          </w:p>
        </w:tc>
      </w:tr>
      <w:tr w:rsidR="00694CD8" w:rsidRPr="00D9298C" w:rsidTr="00887CFA">
        <w:trPr>
          <w:trHeight w:val="300"/>
        </w:trPr>
        <w:tc>
          <w:tcPr>
            <w:tcW w:w="140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7</w:t>
            </w:r>
          </w:p>
        </w:tc>
        <w:tc>
          <w:tcPr>
            <w:tcW w:w="206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47 296</w:t>
            </w:r>
          </w:p>
        </w:tc>
        <w:tc>
          <w:tcPr>
            <w:tcW w:w="206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1,25</w:t>
            </w:r>
          </w:p>
        </w:tc>
        <w:tc>
          <w:tcPr>
            <w:tcW w:w="2060" w:type="dxa"/>
            <w:vMerge/>
            <w:tcBorders>
              <w:top w:val="single" w:sz="12" w:space="0" w:color="auto"/>
              <w:left w:val="nil"/>
              <w:bottom w:val="nil"/>
              <w:right w:val="nil"/>
            </w:tcBorders>
            <w:vAlign w:val="center"/>
          </w:tcPr>
          <w:p w:rsidR="00694CD8" w:rsidRPr="00D07591" w:rsidRDefault="00694CD8" w:rsidP="002D52ED">
            <w:pPr>
              <w:spacing w:after="0" w:line="240" w:lineRule="auto"/>
              <w:rPr>
                <w:color w:val="000000"/>
              </w:rPr>
            </w:pPr>
          </w:p>
        </w:tc>
      </w:tr>
      <w:tr w:rsidR="00694CD8" w:rsidRPr="00D9298C" w:rsidTr="00887CFA">
        <w:trPr>
          <w:trHeight w:val="300"/>
        </w:trPr>
        <w:tc>
          <w:tcPr>
            <w:tcW w:w="140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8</w:t>
            </w:r>
          </w:p>
        </w:tc>
        <w:tc>
          <w:tcPr>
            <w:tcW w:w="206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61 768</w:t>
            </w:r>
          </w:p>
        </w:tc>
        <w:tc>
          <w:tcPr>
            <w:tcW w:w="206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1,63</w:t>
            </w:r>
          </w:p>
        </w:tc>
        <w:tc>
          <w:tcPr>
            <w:tcW w:w="2060" w:type="dxa"/>
            <w:vMerge/>
            <w:tcBorders>
              <w:top w:val="single" w:sz="12" w:space="0" w:color="auto"/>
              <w:left w:val="nil"/>
              <w:bottom w:val="nil"/>
              <w:right w:val="nil"/>
            </w:tcBorders>
            <w:vAlign w:val="center"/>
          </w:tcPr>
          <w:p w:rsidR="00694CD8" w:rsidRPr="00D07591" w:rsidRDefault="00694CD8" w:rsidP="002D52ED">
            <w:pPr>
              <w:spacing w:after="0" w:line="240" w:lineRule="auto"/>
              <w:rPr>
                <w:color w:val="000000"/>
              </w:rPr>
            </w:pPr>
          </w:p>
        </w:tc>
      </w:tr>
      <w:tr w:rsidR="00694CD8" w:rsidRPr="00D9298C" w:rsidTr="00887CFA">
        <w:trPr>
          <w:trHeight w:val="300"/>
        </w:trPr>
        <w:tc>
          <w:tcPr>
            <w:tcW w:w="140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9</w:t>
            </w:r>
          </w:p>
        </w:tc>
        <w:tc>
          <w:tcPr>
            <w:tcW w:w="206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62 511</w:t>
            </w:r>
          </w:p>
        </w:tc>
        <w:tc>
          <w:tcPr>
            <w:tcW w:w="206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1,65</w:t>
            </w:r>
          </w:p>
        </w:tc>
        <w:tc>
          <w:tcPr>
            <w:tcW w:w="2060" w:type="dxa"/>
            <w:vMerge/>
            <w:tcBorders>
              <w:top w:val="single" w:sz="12" w:space="0" w:color="auto"/>
              <w:left w:val="nil"/>
              <w:bottom w:val="nil"/>
              <w:right w:val="nil"/>
            </w:tcBorders>
            <w:vAlign w:val="center"/>
          </w:tcPr>
          <w:p w:rsidR="00694CD8" w:rsidRPr="00D07591" w:rsidRDefault="00694CD8" w:rsidP="002D52ED">
            <w:pPr>
              <w:spacing w:after="0" w:line="240" w:lineRule="auto"/>
              <w:rPr>
                <w:color w:val="000000"/>
              </w:rPr>
            </w:pPr>
          </w:p>
        </w:tc>
      </w:tr>
      <w:tr w:rsidR="00694CD8" w:rsidRPr="00D9298C" w:rsidTr="00887CFA">
        <w:trPr>
          <w:trHeight w:val="300"/>
        </w:trPr>
        <w:tc>
          <w:tcPr>
            <w:tcW w:w="140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10</w:t>
            </w:r>
          </w:p>
        </w:tc>
        <w:tc>
          <w:tcPr>
            <w:tcW w:w="206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71 487</w:t>
            </w:r>
          </w:p>
        </w:tc>
        <w:tc>
          <w:tcPr>
            <w:tcW w:w="206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1,88</w:t>
            </w:r>
          </w:p>
        </w:tc>
        <w:tc>
          <w:tcPr>
            <w:tcW w:w="2060" w:type="dxa"/>
            <w:vMerge/>
            <w:tcBorders>
              <w:top w:val="single" w:sz="12" w:space="0" w:color="auto"/>
              <w:left w:val="nil"/>
              <w:bottom w:val="nil"/>
              <w:right w:val="nil"/>
            </w:tcBorders>
            <w:vAlign w:val="center"/>
          </w:tcPr>
          <w:p w:rsidR="00694CD8" w:rsidRPr="00D07591" w:rsidRDefault="00694CD8" w:rsidP="002D52ED">
            <w:pPr>
              <w:spacing w:after="0" w:line="240" w:lineRule="auto"/>
              <w:rPr>
                <w:color w:val="000000"/>
              </w:rPr>
            </w:pPr>
          </w:p>
        </w:tc>
      </w:tr>
      <w:tr w:rsidR="00694CD8" w:rsidRPr="00D9298C" w:rsidTr="00887CFA">
        <w:trPr>
          <w:trHeight w:val="300"/>
        </w:trPr>
        <w:tc>
          <w:tcPr>
            <w:tcW w:w="140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11</w:t>
            </w:r>
          </w:p>
        </w:tc>
        <w:tc>
          <w:tcPr>
            <w:tcW w:w="206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69 167</w:t>
            </w:r>
          </w:p>
        </w:tc>
        <w:tc>
          <w:tcPr>
            <w:tcW w:w="206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1,82</w:t>
            </w:r>
          </w:p>
        </w:tc>
        <w:tc>
          <w:tcPr>
            <w:tcW w:w="2060" w:type="dxa"/>
            <w:vMerge/>
            <w:tcBorders>
              <w:top w:val="single" w:sz="12" w:space="0" w:color="auto"/>
              <w:left w:val="nil"/>
              <w:bottom w:val="nil"/>
              <w:right w:val="nil"/>
            </w:tcBorders>
            <w:vAlign w:val="center"/>
          </w:tcPr>
          <w:p w:rsidR="00694CD8" w:rsidRPr="00D07591" w:rsidRDefault="00694CD8" w:rsidP="002D52ED">
            <w:pPr>
              <w:spacing w:after="0" w:line="240" w:lineRule="auto"/>
              <w:rPr>
                <w:color w:val="000000"/>
              </w:rPr>
            </w:pPr>
          </w:p>
        </w:tc>
      </w:tr>
      <w:tr w:rsidR="00694CD8" w:rsidRPr="00D9298C" w:rsidTr="00887CFA">
        <w:trPr>
          <w:trHeight w:val="315"/>
        </w:trPr>
        <w:tc>
          <w:tcPr>
            <w:tcW w:w="140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12</w:t>
            </w:r>
          </w:p>
        </w:tc>
        <w:tc>
          <w:tcPr>
            <w:tcW w:w="206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3 136 516</w:t>
            </w:r>
          </w:p>
        </w:tc>
        <w:tc>
          <w:tcPr>
            <w:tcW w:w="206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82,65</w:t>
            </w:r>
          </w:p>
        </w:tc>
        <w:tc>
          <w:tcPr>
            <w:tcW w:w="206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82,65</w:t>
            </w:r>
          </w:p>
        </w:tc>
      </w:tr>
      <w:tr w:rsidR="00694CD8" w:rsidRPr="00D9298C" w:rsidTr="00887CFA">
        <w:trPr>
          <w:trHeight w:val="330"/>
        </w:trPr>
        <w:tc>
          <w:tcPr>
            <w:tcW w:w="140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Celkem</w:t>
            </w:r>
          </w:p>
        </w:tc>
        <w:tc>
          <w:tcPr>
            <w:tcW w:w="206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3 794 795</w:t>
            </w:r>
          </w:p>
        </w:tc>
        <w:tc>
          <w:tcPr>
            <w:tcW w:w="206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100</w:t>
            </w:r>
          </w:p>
        </w:tc>
        <w:tc>
          <w:tcPr>
            <w:tcW w:w="206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100</w:t>
            </w:r>
          </w:p>
        </w:tc>
      </w:tr>
    </w:tbl>
    <w:p w:rsidR="00694CD8" w:rsidRPr="00D07591" w:rsidRDefault="00694CD8" w:rsidP="002D52ED">
      <w:pPr>
        <w:spacing w:line="240" w:lineRule="auto"/>
        <w:rPr>
          <w:lang w:eastAsia="en-US"/>
        </w:rPr>
      </w:pPr>
    </w:p>
    <w:p w:rsidR="00694CD8" w:rsidRPr="00D07591" w:rsidRDefault="00694CD8" w:rsidP="002D52ED">
      <w:pPr>
        <w:spacing w:after="120" w:line="240" w:lineRule="auto"/>
        <w:jc w:val="both"/>
      </w:pPr>
      <w:r w:rsidRPr="00D07591">
        <w:t>Tyto osoby byly po zbytek roku buď osobami samostatně výdělečně činnými, nebo státními pojištěnci (zejména matky na mateřské dovolené, za jistých podmínek studenti, nezaměstnaní s nárokem na podporu v nezaměstnanosti, důchodci), případně osobami bez zdanitelných příjmů (osoby ekonomicky neaktivní, které nejsou státními pojištěnci). Změna pojistného období se dotkne pouze jednotlivců, kteří byli po alespoň část zbytku roku osobami bez zdanitelných příjmů. Jde přibližně 11 % z celkového počtu asi 3,8mil zaměstnanců, kteří byli alespoň měsíc zaměstnáni.</w:t>
      </w:r>
    </w:p>
    <w:p w:rsidR="00694CD8" w:rsidRPr="00D07591" w:rsidRDefault="00694CD8" w:rsidP="002D52ED">
      <w:pPr>
        <w:pStyle w:val="Caption"/>
        <w:keepNext/>
      </w:pPr>
      <w:r w:rsidRPr="00D07591">
        <w:t>Tabulka 1.2.: Počet měsíců bez zdanitelných příjmů v roce u osob, které byly alespoň měsíc v daném roce zaměstnanci</w:t>
      </w:r>
    </w:p>
    <w:tbl>
      <w:tblPr>
        <w:tblW w:w="7180" w:type="dxa"/>
        <w:tblInd w:w="55" w:type="dxa"/>
        <w:tblCellMar>
          <w:left w:w="70" w:type="dxa"/>
          <w:right w:w="70" w:type="dxa"/>
        </w:tblCellMar>
        <w:tblLook w:val="00A0"/>
      </w:tblPr>
      <w:tblGrid>
        <w:gridCol w:w="1660"/>
        <w:gridCol w:w="2200"/>
        <w:gridCol w:w="1660"/>
        <w:gridCol w:w="1660"/>
      </w:tblGrid>
      <w:tr w:rsidR="00694CD8" w:rsidRPr="00D9298C" w:rsidTr="00887CFA">
        <w:trPr>
          <w:trHeight w:val="585"/>
        </w:trPr>
        <w:tc>
          <w:tcPr>
            <w:tcW w:w="1660" w:type="dxa"/>
            <w:tcBorders>
              <w:top w:val="single" w:sz="12" w:space="0" w:color="auto"/>
              <w:left w:val="nil"/>
              <w:bottom w:val="nil"/>
              <w:right w:val="nil"/>
            </w:tcBorders>
            <w:vAlign w:val="center"/>
          </w:tcPr>
          <w:p w:rsidR="00694CD8" w:rsidRPr="00D07591" w:rsidRDefault="00694CD8" w:rsidP="002D52ED">
            <w:pPr>
              <w:spacing w:after="0" w:line="240" w:lineRule="auto"/>
              <w:jc w:val="center"/>
              <w:rPr>
                <w:color w:val="000000"/>
              </w:rPr>
            </w:pPr>
            <w:r w:rsidRPr="00D07591">
              <w:rPr>
                <w:color w:val="000000"/>
              </w:rPr>
              <w:t>počet měsíců bez zdan. příjmů</w:t>
            </w:r>
          </w:p>
        </w:tc>
        <w:tc>
          <w:tcPr>
            <w:tcW w:w="2200" w:type="dxa"/>
            <w:tcBorders>
              <w:top w:val="single" w:sz="12" w:space="0" w:color="auto"/>
              <w:left w:val="nil"/>
              <w:bottom w:val="nil"/>
              <w:right w:val="nil"/>
            </w:tcBorders>
            <w:vAlign w:val="center"/>
          </w:tcPr>
          <w:p w:rsidR="00694CD8" w:rsidRPr="00D07591" w:rsidRDefault="00694CD8" w:rsidP="002D52ED">
            <w:pPr>
              <w:spacing w:after="0" w:line="240" w:lineRule="auto"/>
              <w:jc w:val="center"/>
              <w:rPr>
                <w:color w:val="000000"/>
              </w:rPr>
            </w:pPr>
            <w:r w:rsidRPr="00D07591">
              <w:rPr>
                <w:color w:val="000000"/>
              </w:rPr>
              <w:t>počet zaměstnanců absolutně</w:t>
            </w:r>
          </w:p>
        </w:tc>
        <w:tc>
          <w:tcPr>
            <w:tcW w:w="1660" w:type="dxa"/>
            <w:tcBorders>
              <w:top w:val="single" w:sz="12" w:space="0" w:color="auto"/>
              <w:left w:val="nil"/>
              <w:bottom w:val="nil"/>
              <w:right w:val="nil"/>
            </w:tcBorders>
            <w:vAlign w:val="center"/>
          </w:tcPr>
          <w:p w:rsidR="00694CD8" w:rsidRPr="00D07591" w:rsidRDefault="00694CD8" w:rsidP="002D52ED">
            <w:pPr>
              <w:spacing w:after="0" w:line="240" w:lineRule="auto"/>
              <w:jc w:val="center"/>
              <w:rPr>
                <w:color w:val="000000"/>
              </w:rPr>
            </w:pPr>
            <w:r w:rsidRPr="00D07591">
              <w:rPr>
                <w:color w:val="000000"/>
              </w:rPr>
              <w:t>počet v procentech</w:t>
            </w:r>
          </w:p>
        </w:tc>
        <w:tc>
          <w:tcPr>
            <w:tcW w:w="1660" w:type="dxa"/>
            <w:tcBorders>
              <w:top w:val="single" w:sz="12" w:space="0" w:color="auto"/>
              <w:left w:val="nil"/>
              <w:bottom w:val="nil"/>
              <w:right w:val="nil"/>
            </w:tcBorders>
            <w:vAlign w:val="center"/>
          </w:tcPr>
          <w:p w:rsidR="00694CD8" w:rsidRPr="00D07591" w:rsidRDefault="00694CD8" w:rsidP="002D52ED">
            <w:pPr>
              <w:spacing w:after="0" w:line="240" w:lineRule="auto"/>
              <w:jc w:val="center"/>
              <w:rPr>
                <w:color w:val="000000"/>
              </w:rPr>
            </w:pPr>
            <w:r w:rsidRPr="00D07591">
              <w:rPr>
                <w:color w:val="000000"/>
              </w:rPr>
              <w:t>počet v procentech</w:t>
            </w:r>
          </w:p>
        </w:tc>
      </w:tr>
      <w:tr w:rsidR="00694CD8" w:rsidRPr="00D9298C" w:rsidTr="00887CFA">
        <w:trPr>
          <w:trHeight w:val="315"/>
        </w:trPr>
        <w:tc>
          <w:tcPr>
            <w:tcW w:w="1660" w:type="dxa"/>
            <w:tcBorders>
              <w:top w:val="single" w:sz="12" w:space="0" w:color="auto"/>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0</w:t>
            </w:r>
          </w:p>
        </w:tc>
        <w:tc>
          <w:tcPr>
            <w:tcW w:w="2200" w:type="dxa"/>
            <w:tcBorders>
              <w:top w:val="single" w:sz="12" w:space="0" w:color="auto"/>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3 348 738</w:t>
            </w:r>
          </w:p>
        </w:tc>
        <w:tc>
          <w:tcPr>
            <w:tcW w:w="1660" w:type="dxa"/>
            <w:tcBorders>
              <w:top w:val="single" w:sz="12" w:space="0" w:color="auto"/>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88,36</w:t>
            </w:r>
          </w:p>
        </w:tc>
        <w:tc>
          <w:tcPr>
            <w:tcW w:w="1660" w:type="dxa"/>
            <w:tcBorders>
              <w:top w:val="single" w:sz="12" w:space="0" w:color="auto"/>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88,36</w:t>
            </w:r>
          </w:p>
        </w:tc>
      </w:tr>
      <w:tr w:rsidR="00694CD8" w:rsidRPr="00D9298C" w:rsidTr="00887CFA">
        <w:trPr>
          <w:trHeight w:val="300"/>
        </w:trPr>
        <w:tc>
          <w:tcPr>
            <w:tcW w:w="166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w:t>
            </w:r>
          </w:p>
        </w:tc>
        <w:tc>
          <w:tcPr>
            <w:tcW w:w="220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89 376</w:t>
            </w:r>
          </w:p>
        </w:tc>
        <w:tc>
          <w:tcPr>
            <w:tcW w:w="166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2,36</w:t>
            </w:r>
          </w:p>
        </w:tc>
        <w:tc>
          <w:tcPr>
            <w:tcW w:w="1660" w:type="dxa"/>
            <w:vMerge w:val="restart"/>
            <w:tcBorders>
              <w:top w:val="nil"/>
              <w:left w:val="nil"/>
              <w:bottom w:val="single" w:sz="12" w:space="0" w:color="000000"/>
              <w:right w:val="nil"/>
            </w:tcBorders>
            <w:noWrap/>
            <w:vAlign w:val="center"/>
          </w:tcPr>
          <w:p w:rsidR="00694CD8" w:rsidRPr="00D07591" w:rsidRDefault="00694CD8" w:rsidP="002D52ED">
            <w:pPr>
              <w:spacing w:after="0" w:line="240" w:lineRule="auto"/>
              <w:jc w:val="center"/>
              <w:rPr>
                <w:color w:val="000000"/>
              </w:rPr>
            </w:pPr>
            <w:r w:rsidRPr="00D07591">
              <w:rPr>
                <w:color w:val="000000"/>
              </w:rPr>
              <w:t>11,64</w:t>
            </w:r>
          </w:p>
        </w:tc>
      </w:tr>
      <w:tr w:rsidR="00694CD8" w:rsidRPr="00D9298C" w:rsidTr="00887CFA">
        <w:trPr>
          <w:trHeight w:val="300"/>
        </w:trPr>
        <w:tc>
          <w:tcPr>
            <w:tcW w:w="166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2</w:t>
            </w:r>
          </w:p>
        </w:tc>
        <w:tc>
          <w:tcPr>
            <w:tcW w:w="220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68 913</w:t>
            </w:r>
          </w:p>
        </w:tc>
        <w:tc>
          <w:tcPr>
            <w:tcW w:w="166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1,82</w:t>
            </w:r>
          </w:p>
        </w:tc>
        <w:tc>
          <w:tcPr>
            <w:tcW w:w="1660" w:type="dxa"/>
            <w:vMerge/>
            <w:tcBorders>
              <w:top w:val="nil"/>
              <w:left w:val="nil"/>
              <w:bottom w:val="single" w:sz="12" w:space="0" w:color="000000"/>
              <w:right w:val="nil"/>
            </w:tcBorders>
            <w:vAlign w:val="center"/>
          </w:tcPr>
          <w:p w:rsidR="00694CD8" w:rsidRPr="00D07591" w:rsidRDefault="00694CD8" w:rsidP="002D52ED">
            <w:pPr>
              <w:spacing w:after="0" w:line="240" w:lineRule="auto"/>
              <w:rPr>
                <w:color w:val="000000"/>
              </w:rPr>
            </w:pPr>
          </w:p>
        </w:tc>
      </w:tr>
      <w:tr w:rsidR="00694CD8" w:rsidRPr="00D9298C" w:rsidTr="00887CFA">
        <w:trPr>
          <w:trHeight w:val="300"/>
        </w:trPr>
        <w:tc>
          <w:tcPr>
            <w:tcW w:w="166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3</w:t>
            </w:r>
          </w:p>
        </w:tc>
        <w:tc>
          <w:tcPr>
            <w:tcW w:w="220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58 372</w:t>
            </w:r>
          </w:p>
        </w:tc>
        <w:tc>
          <w:tcPr>
            <w:tcW w:w="166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1,54</w:t>
            </w:r>
          </w:p>
        </w:tc>
        <w:tc>
          <w:tcPr>
            <w:tcW w:w="1660" w:type="dxa"/>
            <w:vMerge/>
            <w:tcBorders>
              <w:top w:val="nil"/>
              <w:left w:val="nil"/>
              <w:bottom w:val="single" w:sz="12" w:space="0" w:color="000000"/>
              <w:right w:val="nil"/>
            </w:tcBorders>
            <w:vAlign w:val="center"/>
          </w:tcPr>
          <w:p w:rsidR="00694CD8" w:rsidRPr="00D07591" w:rsidRDefault="00694CD8" w:rsidP="002D52ED">
            <w:pPr>
              <w:spacing w:after="0" w:line="240" w:lineRule="auto"/>
              <w:rPr>
                <w:color w:val="000000"/>
              </w:rPr>
            </w:pPr>
          </w:p>
        </w:tc>
      </w:tr>
      <w:tr w:rsidR="00694CD8" w:rsidRPr="00D9298C" w:rsidTr="00887CFA">
        <w:trPr>
          <w:trHeight w:val="300"/>
        </w:trPr>
        <w:tc>
          <w:tcPr>
            <w:tcW w:w="166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4</w:t>
            </w:r>
          </w:p>
        </w:tc>
        <w:tc>
          <w:tcPr>
            <w:tcW w:w="220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48 020</w:t>
            </w:r>
          </w:p>
        </w:tc>
        <w:tc>
          <w:tcPr>
            <w:tcW w:w="166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1,27</w:t>
            </w:r>
          </w:p>
        </w:tc>
        <w:tc>
          <w:tcPr>
            <w:tcW w:w="1660" w:type="dxa"/>
            <w:vMerge/>
            <w:tcBorders>
              <w:top w:val="nil"/>
              <w:left w:val="nil"/>
              <w:bottom w:val="single" w:sz="12" w:space="0" w:color="000000"/>
              <w:right w:val="nil"/>
            </w:tcBorders>
            <w:vAlign w:val="center"/>
          </w:tcPr>
          <w:p w:rsidR="00694CD8" w:rsidRPr="00D07591" w:rsidRDefault="00694CD8" w:rsidP="002D52ED">
            <w:pPr>
              <w:spacing w:after="0" w:line="240" w:lineRule="auto"/>
              <w:rPr>
                <w:color w:val="000000"/>
              </w:rPr>
            </w:pPr>
          </w:p>
        </w:tc>
      </w:tr>
      <w:tr w:rsidR="00694CD8" w:rsidRPr="00D9298C" w:rsidTr="00887CFA">
        <w:trPr>
          <w:trHeight w:val="300"/>
        </w:trPr>
        <w:tc>
          <w:tcPr>
            <w:tcW w:w="166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5</w:t>
            </w:r>
          </w:p>
        </w:tc>
        <w:tc>
          <w:tcPr>
            <w:tcW w:w="220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30 131</w:t>
            </w:r>
          </w:p>
        </w:tc>
        <w:tc>
          <w:tcPr>
            <w:tcW w:w="166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0,80</w:t>
            </w:r>
          </w:p>
        </w:tc>
        <w:tc>
          <w:tcPr>
            <w:tcW w:w="1660" w:type="dxa"/>
            <w:vMerge/>
            <w:tcBorders>
              <w:top w:val="nil"/>
              <w:left w:val="nil"/>
              <w:bottom w:val="single" w:sz="12" w:space="0" w:color="000000"/>
              <w:right w:val="nil"/>
            </w:tcBorders>
            <w:vAlign w:val="center"/>
          </w:tcPr>
          <w:p w:rsidR="00694CD8" w:rsidRPr="00D07591" w:rsidRDefault="00694CD8" w:rsidP="002D52ED">
            <w:pPr>
              <w:spacing w:after="0" w:line="240" w:lineRule="auto"/>
              <w:rPr>
                <w:color w:val="000000"/>
              </w:rPr>
            </w:pPr>
          </w:p>
        </w:tc>
      </w:tr>
      <w:tr w:rsidR="00694CD8" w:rsidRPr="00D9298C" w:rsidTr="00887CFA">
        <w:trPr>
          <w:trHeight w:val="300"/>
        </w:trPr>
        <w:tc>
          <w:tcPr>
            <w:tcW w:w="166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6</w:t>
            </w:r>
          </w:p>
        </w:tc>
        <w:tc>
          <w:tcPr>
            <w:tcW w:w="220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52 430</w:t>
            </w:r>
          </w:p>
        </w:tc>
        <w:tc>
          <w:tcPr>
            <w:tcW w:w="166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1,38</w:t>
            </w:r>
          </w:p>
        </w:tc>
        <w:tc>
          <w:tcPr>
            <w:tcW w:w="1660" w:type="dxa"/>
            <w:vMerge/>
            <w:tcBorders>
              <w:top w:val="nil"/>
              <w:left w:val="nil"/>
              <w:bottom w:val="single" w:sz="12" w:space="0" w:color="000000"/>
              <w:right w:val="nil"/>
            </w:tcBorders>
            <w:vAlign w:val="center"/>
          </w:tcPr>
          <w:p w:rsidR="00694CD8" w:rsidRPr="00D07591" w:rsidRDefault="00694CD8" w:rsidP="002D52ED">
            <w:pPr>
              <w:spacing w:after="0" w:line="240" w:lineRule="auto"/>
              <w:rPr>
                <w:color w:val="000000"/>
              </w:rPr>
            </w:pPr>
          </w:p>
        </w:tc>
      </w:tr>
      <w:tr w:rsidR="00694CD8" w:rsidRPr="00D9298C" w:rsidTr="00887CFA">
        <w:trPr>
          <w:trHeight w:val="300"/>
        </w:trPr>
        <w:tc>
          <w:tcPr>
            <w:tcW w:w="166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7</w:t>
            </w:r>
          </w:p>
        </w:tc>
        <w:tc>
          <w:tcPr>
            <w:tcW w:w="220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25 959</w:t>
            </w:r>
          </w:p>
        </w:tc>
        <w:tc>
          <w:tcPr>
            <w:tcW w:w="166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0,68</w:t>
            </w:r>
          </w:p>
        </w:tc>
        <w:tc>
          <w:tcPr>
            <w:tcW w:w="1660" w:type="dxa"/>
            <w:vMerge/>
            <w:tcBorders>
              <w:top w:val="nil"/>
              <w:left w:val="nil"/>
              <w:bottom w:val="single" w:sz="12" w:space="0" w:color="000000"/>
              <w:right w:val="nil"/>
            </w:tcBorders>
            <w:vAlign w:val="center"/>
          </w:tcPr>
          <w:p w:rsidR="00694CD8" w:rsidRPr="00D07591" w:rsidRDefault="00694CD8" w:rsidP="002D52ED">
            <w:pPr>
              <w:spacing w:after="0" w:line="240" w:lineRule="auto"/>
              <w:rPr>
                <w:color w:val="000000"/>
              </w:rPr>
            </w:pPr>
          </w:p>
        </w:tc>
      </w:tr>
      <w:tr w:rsidR="00694CD8" w:rsidRPr="00D9298C" w:rsidTr="00887CFA">
        <w:trPr>
          <w:trHeight w:val="300"/>
        </w:trPr>
        <w:tc>
          <w:tcPr>
            <w:tcW w:w="166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8</w:t>
            </w:r>
          </w:p>
        </w:tc>
        <w:tc>
          <w:tcPr>
            <w:tcW w:w="220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32 593</w:t>
            </w:r>
          </w:p>
        </w:tc>
        <w:tc>
          <w:tcPr>
            <w:tcW w:w="166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0,86</w:t>
            </w:r>
          </w:p>
        </w:tc>
        <w:tc>
          <w:tcPr>
            <w:tcW w:w="1660" w:type="dxa"/>
            <w:vMerge/>
            <w:tcBorders>
              <w:top w:val="nil"/>
              <w:left w:val="nil"/>
              <w:bottom w:val="single" w:sz="12" w:space="0" w:color="000000"/>
              <w:right w:val="nil"/>
            </w:tcBorders>
            <w:vAlign w:val="center"/>
          </w:tcPr>
          <w:p w:rsidR="00694CD8" w:rsidRPr="00D07591" w:rsidRDefault="00694CD8" w:rsidP="002D52ED">
            <w:pPr>
              <w:spacing w:after="0" w:line="240" w:lineRule="auto"/>
              <w:rPr>
                <w:color w:val="000000"/>
              </w:rPr>
            </w:pPr>
          </w:p>
        </w:tc>
      </w:tr>
      <w:tr w:rsidR="00694CD8" w:rsidRPr="00D9298C" w:rsidTr="00887CFA">
        <w:trPr>
          <w:trHeight w:val="300"/>
        </w:trPr>
        <w:tc>
          <w:tcPr>
            <w:tcW w:w="166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9</w:t>
            </w:r>
          </w:p>
        </w:tc>
        <w:tc>
          <w:tcPr>
            <w:tcW w:w="220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22 564</w:t>
            </w:r>
          </w:p>
        </w:tc>
        <w:tc>
          <w:tcPr>
            <w:tcW w:w="166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0,60</w:t>
            </w:r>
          </w:p>
        </w:tc>
        <w:tc>
          <w:tcPr>
            <w:tcW w:w="1660" w:type="dxa"/>
            <w:vMerge/>
            <w:tcBorders>
              <w:top w:val="nil"/>
              <w:left w:val="nil"/>
              <w:bottom w:val="single" w:sz="12" w:space="0" w:color="000000"/>
              <w:right w:val="nil"/>
            </w:tcBorders>
            <w:vAlign w:val="center"/>
          </w:tcPr>
          <w:p w:rsidR="00694CD8" w:rsidRPr="00D07591" w:rsidRDefault="00694CD8" w:rsidP="002D52ED">
            <w:pPr>
              <w:spacing w:after="0" w:line="240" w:lineRule="auto"/>
              <w:rPr>
                <w:color w:val="000000"/>
              </w:rPr>
            </w:pPr>
          </w:p>
        </w:tc>
      </w:tr>
      <w:tr w:rsidR="00694CD8" w:rsidRPr="00D9298C" w:rsidTr="00887CFA">
        <w:trPr>
          <w:trHeight w:val="300"/>
        </w:trPr>
        <w:tc>
          <w:tcPr>
            <w:tcW w:w="166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10</w:t>
            </w:r>
          </w:p>
        </w:tc>
        <w:tc>
          <w:tcPr>
            <w:tcW w:w="220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6 774</w:t>
            </w:r>
          </w:p>
        </w:tc>
        <w:tc>
          <w:tcPr>
            <w:tcW w:w="166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0,18</w:t>
            </w:r>
          </w:p>
        </w:tc>
        <w:tc>
          <w:tcPr>
            <w:tcW w:w="1660" w:type="dxa"/>
            <w:vMerge/>
            <w:tcBorders>
              <w:top w:val="nil"/>
              <w:left w:val="nil"/>
              <w:bottom w:val="single" w:sz="12" w:space="0" w:color="000000"/>
              <w:right w:val="nil"/>
            </w:tcBorders>
            <w:vAlign w:val="center"/>
          </w:tcPr>
          <w:p w:rsidR="00694CD8" w:rsidRPr="00D07591" w:rsidRDefault="00694CD8" w:rsidP="002D52ED">
            <w:pPr>
              <w:spacing w:after="0" w:line="240" w:lineRule="auto"/>
              <w:rPr>
                <w:color w:val="000000"/>
              </w:rPr>
            </w:pPr>
          </w:p>
        </w:tc>
      </w:tr>
      <w:tr w:rsidR="00694CD8" w:rsidRPr="00D9298C" w:rsidTr="00887CFA">
        <w:trPr>
          <w:trHeight w:val="315"/>
        </w:trPr>
        <w:tc>
          <w:tcPr>
            <w:tcW w:w="166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11</w:t>
            </w:r>
          </w:p>
        </w:tc>
        <w:tc>
          <w:tcPr>
            <w:tcW w:w="220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6 045</w:t>
            </w:r>
          </w:p>
        </w:tc>
        <w:tc>
          <w:tcPr>
            <w:tcW w:w="166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0,16</w:t>
            </w:r>
          </w:p>
        </w:tc>
        <w:tc>
          <w:tcPr>
            <w:tcW w:w="1660" w:type="dxa"/>
            <w:vMerge/>
            <w:tcBorders>
              <w:top w:val="nil"/>
              <w:left w:val="nil"/>
              <w:bottom w:val="single" w:sz="12" w:space="0" w:color="000000"/>
              <w:right w:val="nil"/>
            </w:tcBorders>
            <w:vAlign w:val="center"/>
          </w:tcPr>
          <w:p w:rsidR="00694CD8" w:rsidRPr="00D07591" w:rsidRDefault="00694CD8" w:rsidP="002D52ED">
            <w:pPr>
              <w:spacing w:after="0" w:line="240" w:lineRule="auto"/>
              <w:rPr>
                <w:color w:val="000000"/>
              </w:rPr>
            </w:pPr>
          </w:p>
        </w:tc>
      </w:tr>
      <w:tr w:rsidR="00694CD8" w:rsidRPr="00D9298C" w:rsidTr="00887CFA">
        <w:trPr>
          <w:trHeight w:val="330"/>
        </w:trPr>
        <w:tc>
          <w:tcPr>
            <w:tcW w:w="166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Celkem</w:t>
            </w:r>
          </w:p>
        </w:tc>
        <w:tc>
          <w:tcPr>
            <w:tcW w:w="220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3 794 795</w:t>
            </w:r>
          </w:p>
        </w:tc>
        <w:tc>
          <w:tcPr>
            <w:tcW w:w="166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100</w:t>
            </w:r>
          </w:p>
        </w:tc>
        <w:tc>
          <w:tcPr>
            <w:tcW w:w="166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100</w:t>
            </w:r>
          </w:p>
        </w:tc>
      </w:tr>
    </w:tbl>
    <w:p w:rsidR="00694CD8" w:rsidRPr="00D07591" w:rsidRDefault="00694CD8" w:rsidP="002D52ED">
      <w:pPr>
        <w:spacing w:after="120" w:line="240" w:lineRule="auto"/>
        <w:jc w:val="both"/>
      </w:pPr>
    </w:p>
    <w:p w:rsidR="00694CD8" w:rsidRPr="00D07591" w:rsidRDefault="00694CD8" w:rsidP="002D52ED">
      <w:pPr>
        <w:spacing w:after="120" w:line="240" w:lineRule="auto"/>
        <w:jc w:val="both"/>
      </w:pPr>
      <w:r w:rsidRPr="00D07591">
        <w:t xml:space="preserve">Dopad změny pojistného období u těchto zaměstnanců se kompenzuje s navýšením hodnoty minimálního základu zdravotního pojištění u osob bez zdanitelných příjmů.  Změna pojistného období na roční snižuje pojistné na zdravotní pojištění, jelikož zaměstnanec s vysokými příjmy, který část roku žádné zdanitelné příjmy neměl, na rozdíl od současnosti nebude muset za měsíce bez zdanitelných příjmů odvádět pojistné z minimálního základu. Naopak zvýšení minimálního pojistného za období bez zdanitelných příjmů zvyšuje pojistné na zdravotní pojištění. Osoba bez zdanitelných příjmů bude odvádět namísto současných 1 080 korun měsíčně (13.5 % z 8 000 korun) 1 664 korun měsíčně (6.5 % z 25 600). </w:t>
      </w:r>
    </w:p>
    <w:p w:rsidR="00694CD8" w:rsidRPr="00D07591" w:rsidRDefault="00694CD8" w:rsidP="002D52ED">
      <w:pPr>
        <w:spacing w:after="120" w:line="240" w:lineRule="auto"/>
        <w:jc w:val="both"/>
      </w:pPr>
      <w:r w:rsidRPr="00D07591">
        <w:t>U zaměstnanců, kteří pracovali jeden nebo dva měsíce, v průměru převládne vliv nárůstu minimálního pojistného za období bez zdanitelných příjmů a jejich pojistné na zdravotní pojištění vzroste o stokoruny až tisíce ročně. U zaměstnanců, kteří pracovali tři měsíce a déle, v průměru převládne vliv prodloužení pojistného období na roční a jejich pojistné na zdravotní pojištění klesne. Následující tabulka 1.3 shrnuje průměrné i agregované dopady na zaměstnance setříděné podle počtu měsíců zaměstnání. Část tabulky s průměrnými hodnotami shrnuje pro zaměstnance s daným počtem měsíců zaměstnání průměrné současné pojistné, jeho změnu a budoucí průměrné pojistné. Část tabulky s agregátními hodnotami ukazuje součty současného pojistného, jeho změny a budoucího pojistného pro zaměstnance zaměstnané daný počet měsíců. Řádek „Celkem“ pak ukazuje současné pojistné, jeho změnu a budoucí pojistné sečtené pro všechny zaměstnance, kteří byli zaměstnáni méně než 12 měsíců. Veškeré údaje, tj. současné i budoucí pojistné, jsou vypočteny z nové 6.5 % sazby zdravotního pojištění zaměstnanců</w:t>
      </w:r>
      <w:r w:rsidRPr="00D07591">
        <w:rPr>
          <w:rStyle w:val="FootnoteReference"/>
        </w:rPr>
        <w:footnoteReference w:id="3"/>
      </w:r>
      <w:r w:rsidRPr="00D07591">
        <w:t>.</w:t>
      </w:r>
    </w:p>
    <w:p w:rsidR="00694CD8" w:rsidRPr="00D07591" w:rsidRDefault="00694CD8" w:rsidP="002D52ED">
      <w:pPr>
        <w:pStyle w:val="Caption"/>
        <w:keepNext/>
      </w:pPr>
      <w:r w:rsidRPr="00D07591">
        <w:t>Tabulka 1.3: Průměrné pojistné na zdravotní pojištění a jeho změny dle počtu měsíců zaměstnání</w:t>
      </w:r>
    </w:p>
    <w:tbl>
      <w:tblPr>
        <w:tblW w:w="8860" w:type="dxa"/>
        <w:tblInd w:w="55" w:type="dxa"/>
        <w:tblCellMar>
          <w:left w:w="70" w:type="dxa"/>
          <w:right w:w="70" w:type="dxa"/>
        </w:tblCellMar>
        <w:tblLook w:val="00A0"/>
      </w:tblPr>
      <w:tblGrid>
        <w:gridCol w:w="1140"/>
        <w:gridCol w:w="1240"/>
        <w:gridCol w:w="920"/>
        <w:gridCol w:w="920"/>
        <w:gridCol w:w="920"/>
        <w:gridCol w:w="1240"/>
        <w:gridCol w:w="1240"/>
        <w:gridCol w:w="1240"/>
      </w:tblGrid>
      <w:tr w:rsidR="00694CD8" w:rsidRPr="00D9298C" w:rsidTr="00292A75">
        <w:trPr>
          <w:trHeight w:val="330"/>
        </w:trPr>
        <w:tc>
          <w:tcPr>
            <w:tcW w:w="1140" w:type="dxa"/>
            <w:tcBorders>
              <w:top w:val="single" w:sz="12" w:space="0" w:color="auto"/>
              <w:left w:val="nil"/>
              <w:bottom w:val="nil"/>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 </w:t>
            </w:r>
          </w:p>
        </w:tc>
        <w:tc>
          <w:tcPr>
            <w:tcW w:w="1240" w:type="dxa"/>
            <w:tcBorders>
              <w:top w:val="single" w:sz="12" w:space="0" w:color="auto"/>
              <w:left w:val="nil"/>
              <w:bottom w:val="single" w:sz="12" w:space="0" w:color="auto"/>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Mzda</w:t>
            </w:r>
          </w:p>
        </w:tc>
        <w:tc>
          <w:tcPr>
            <w:tcW w:w="2760" w:type="dxa"/>
            <w:gridSpan w:val="3"/>
            <w:tcBorders>
              <w:top w:val="single" w:sz="12" w:space="0" w:color="auto"/>
              <w:left w:val="single" w:sz="12" w:space="0" w:color="auto"/>
              <w:bottom w:val="single" w:sz="12" w:space="0" w:color="auto"/>
              <w:right w:val="single" w:sz="12" w:space="0" w:color="000000"/>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 xml:space="preserve">Pojistné - průměry </w:t>
            </w:r>
          </w:p>
        </w:tc>
        <w:tc>
          <w:tcPr>
            <w:tcW w:w="3720" w:type="dxa"/>
            <w:gridSpan w:val="3"/>
            <w:tcBorders>
              <w:top w:val="single" w:sz="12" w:space="0" w:color="auto"/>
              <w:left w:val="nil"/>
              <w:bottom w:val="single" w:sz="12" w:space="0" w:color="auto"/>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Pojistné - agregátně</w:t>
            </w:r>
          </w:p>
        </w:tc>
      </w:tr>
      <w:tr w:rsidR="00694CD8" w:rsidRPr="00D9298C" w:rsidTr="00292A75">
        <w:trPr>
          <w:trHeight w:val="600"/>
        </w:trPr>
        <w:tc>
          <w:tcPr>
            <w:tcW w:w="1140" w:type="dxa"/>
            <w:tcBorders>
              <w:top w:val="single" w:sz="12" w:space="0" w:color="auto"/>
              <w:left w:val="nil"/>
              <w:bottom w:val="single" w:sz="12" w:space="0" w:color="auto"/>
              <w:right w:val="nil"/>
            </w:tcBorders>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počet měsíců zaměstnání</w:t>
            </w:r>
          </w:p>
        </w:tc>
        <w:tc>
          <w:tcPr>
            <w:tcW w:w="1240" w:type="dxa"/>
            <w:tcBorders>
              <w:top w:val="nil"/>
              <w:left w:val="nil"/>
              <w:bottom w:val="single" w:sz="12" w:space="0" w:color="auto"/>
              <w:right w:val="nil"/>
            </w:tcBorders>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roční mzda</w:t>
            </w:r>
          </w:p>
        </w:tc>
        <w:tc>
          <w:tcPr>
            <w:tcW w:w="920" w:type="dxa"/>
            <w:tcBorders>
              <w:top w:val="nil"/>
              <w:left w:val="single" w:sz="12" w:space="0" w:color="auto"/>
              <w:bottom w:val="single" w:sz="12" w:space="0" w:color="auto"/>
              <w:right w:val="nil"/>
            </w:tcBorders>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měsíční základy</w:t>
            </w:r>
          </w:p>
        </w:tc>
        <w:tc>
          <w:tcPr>
            <w:tcW w:w="920" w:type="dxa"/>
            <w:tcBorders>
              <w:top w:val="nil"/>
              <w:left w:val="nil"/>
              <w:bottom w:val="single" w:sz="12" w:space="0" w:color="auto"/>
              <w:right w:val="nil"/>
            </w:tcBorders>
            <w:vAlign w:val="center"/>
          </w:tcPr>
          <w:p w:rsidR="00694CD8" w:rsidRPr="00D07591" w:rsidRDefault="00694CD8" w:rsidP="002D52ED">
            <w:pPr>
              <w:spacing w:after="0" w:line="240" w:lineRule="auto"/>
              <w:jc w:val="center"/>
              <w:rPr>
                <w:b/>
                <w:color w:val="000000"/>
                <w:sz w:val="18"/>
                <w:szCs w:val="18"/>
              </w:rPr>
            </w:pPr>
            <w:r w:rsidRPr="00D07591">
              <w:rPr>
                <w:b/>
                <w:color w:val="000000"/>
                <w:sz w:val="18"/>
                <w:szCs w:val="18"/>
              </w:rPr>
              <w:t>změna</w:t>
            </w:r>
          </w:p>
        </w:tc>
        <w:tc>
          <w:tcPr>
            <w:tcW w:w="920" w:type="dxa"/>
            <w:tcBorders>
              <w:top w:val="nil"/>
              <w:left w:val="nil"/>
              <w:bottom w:val="single" w:sz="12" w:space="0" w:color="auto"/>
              <w:right w:val="single" w:sz="12" w:space="0" w:color="auto"/>
            </w:tcBorders>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 xml:space="preserve"> roční základ</w:t>
            </w:r>
          </w:p>
        </w:tc>
        <w:tc>
          <w:tcPr>
            <w:tcW w:w="1240" w:type="dxa"/>
            <w:tcBorders>
              <w:top w:val="nil"/>
              <w:left w:val="nil"/>
              <w:bottom w:val="single" w:sz="12" w:space="0" w:color="auto"/>
              <w:right w:val="nil"/>
            </w:tcBorders>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měsíční základy</w:t>
            </w:r>
          </w:p>
        </w:tc>
        <w:tc>
          <w:tcPr>
            <w:tcW w:w="1240" w:type="dxa"/>
            <w:tcBorders>
              <w:top w:val="nil"/>
              <w:left w:val="nil"/>
              <w:bottom w:val="single" w:sz="12" w:space="0" w:color="auto"/>
              <w:right w:val="nil"/>
            </w:tcBorders>
            <w:vAlign w:val="center"/>
          </w:tcPr>
          <w:p w:rsidR="00694CD8" w:rsidRPr="00D07591" w:rsidRDefault="00694CD8" w:rsidP="002D52ED">
            <w:pPr>
              <w:spacing w:after="0" w:line="240" w:lineRule="auto"/>
              <w:jc w:val="center"/>
              <w:rPr>
                <w:b/>
                <w:color w:val="000000"/>
                <w:sz w:val="18"/>
                <w:szCs w:val="18"/>
              </w:rPr>
            </w:pPr>
            <w:r w:rsidRPr="00D07591">
              <w:rPr>
                <w:b/>
                <w:color w:val="000000"/>
                <w:sz w:val="18"/>
                <w:szCs w:val="18"/>
              </w:rPr>
              <w:t>změna</w:t>
            </w:r>
          </w:p>
        </w:tc>
        <w:tc>
          <w:tcPr>
            <w:tcW w:w="1240" w:type="dxa"/>
            <w:tcBorders>
              <w:top w:val="nil"/>
              <w:left w:val="nil"/>
              <w:bottom w:val="single" w:sz="12" w:space="0" w:color="auto"/>
              <w:right w:val="nil"/>
            </w:tcBorders>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 xml:space="preserve"> roční základ</w:t>
            </w:r>
          </w:p>
        </w:tc>
      </w:tr>
      <w:tr w:rsidR="00694CD8" w:rsidRPr="00D9298C" w:rsidTr="00292A75">
        <w:trPr>
          <w:trHeight w:val="315"/>
        </w:trPr>
        <w:tc>
          <w:tcPr>
            <w:tcW w:w="11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1</w:t>
            </w:r>
          </w:p>
        </w:tc>
        <w:tc>
          <w:tcPr>
            <w:tcW w:w="12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25 257</w:t>
            </w:r>
          </w:p>
        </w:tc>
        <w:tc>
          <w:tcPr>
            <w:tcW w:w="920" w:type="dxa"/>
            <w:tcBorders>
              <w:top w:val="nil"/>
              <w:left w:val="single" w:sz="12" w:space="0" w:color="auto"/>
              <w:bottom w:val="nil"/>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7 402</w:t>
            </w:r>
          </w:p>
        </w:tc>
        <w:tc>
          <w:tcPr>
            <w:tcW w:w="920" w:type="dxa"/>
            <w:tcBorders>
              <w:top w:val="nil"/>
              <w:left w:val="nil"/>
              <w:bottom w:val="nil"/>
              <w:right w:val="nil"/>
            </w:tcBorders>
            <w:noWrap/>
            <w:vAlign w:val="center"/>
          </w:tcPr>
          <w:p w:rsidR="00694CD8" w:rsidRPr="00D07591" w:rsidRDefault="00694CD8" w:rsidP="002D52ED">
            <w:pPr>
              <w:spacing w:after="0" w:line="240" w:lineRule="auto"/>
              <w:jc w:val="center"/>
              <w:rPr>
                <w:b/>
                <w:color w:val="000000"/>
                <w:sz w:val="18"/>
                <w:szCs w:val="18"/>
              </w:rPr>
            </w:pPr>
            <w:r w:rsidRPr="00D07591">
              <w:rPr>
                <w:b/>
                <w:color w:val="000000"/>
                <w:sz w:val="18"/>
                <w:szCs w:val="18"/>
              </w:rPr>
              <w:t>1 107</w:t>
            </w:r>
          </w:p>
        </w:tc>
        <w:tc>
          <w:tcPr>
            <w:tcW w:w="920" w:type="dxa"/>
            <w:tcBorders>
              <w:top w:val="nil"/>
              <w:left w:val="nil"/>
              <w:bottom w:val="nil"/>
              <w:right w:val="single" w:sz="12" w:space="0" w:color="auto"/>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8 509</w:t>
            </w:r>
          </w:p>
        </w:tc>
        <w:tc>
          <w:tcPr>
            <w:tcW w:w="12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249 105 344</w:t>
            </w:r>
          </w:p>
        </w:tc>
        <w:tc>
          <w:tcPr>
            <w:tcW w:w="1240" w:type="dxa"/>
            <w:tcBorders>
              <w:top w:val="nil"/>
              <w:left w:val="nil"/>
              <w:bottom w:val="nil"/>
              <w:right w:val="nil"/>
            </w:tcBorders>
            <w:noWrap/>
            <w:vAlign w:val="center"/>
          </w:tcPr>
          <w:p w:rsidR="00694CD8" w:rsidRPr="00D07591" w:rsidRDefault="00694CD8" w:rsidP="002D52ED">
            <w:pPr>
              <w:spacing w:after="0" w:line="240" w:lineRule="auto"/>
              <w:jc w:val="center"/>
              <w:rPr>
                <w:b/>
                <w:color w:val="000000"/>
                <w:sz w:val="18"/>
                <w:szCs w:val="18"/>
              </w:rPr>
            </w:pPr>
            <w:r w:rsidRPr="00D07591">
              <w:rPr>
                <w:b/>
                <w:color w:val="000000"/>
                <w:sz w:val="18"/>
                <w:szCs w:val="18"/>
              </w:rPr>
              <w:t>38 831 832</w:t>
            </w:r>
          </w:p>
        </w:tc>
        <w:tc>
          <w:tcPr>
            <w:tcW w:w="12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287 937 184</w:t>
            </w:r>
          </w:p>
        </w:tc>
      </w:tr>
      <w:tr w:rsidR="00694CD8" w:rsidRPr="00D9298C" w:rsidTr="00292A75">
        <w:trPr>
          <w:trHeight w:val="300"/>
        </w:trPr>
        <w:tc>
          <w:tcPr>
            <w:tcW w:w="11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2</w:t>
            </w:r>
          </w:p>
        </w:tc>
        <w:tc>
          <w:tcPr>
            <w:tcW w:w="12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40 960</w:t>
            </w:r>
          </w:p>
        </w:tc>
        <w:tc>
          <w:tcPr>
            <w:tcW w:w="920" w:type="dxa"/>
            <w:tcBorders>
              <w:top w:val="nil"/>
              <w:left w:val="single" w:sz="12" w:space="0" w:color="auto"/>
              <w:bottom w:val="nil"/>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7 802</w:t>
            </w:r>
          </w:p>
        </w:tc>
        <w:tc>
          <w:tcPr>
            <w:tcW w:w="920" w:type="dxa"/>
            <w:tcBorders>
              <w:top w:val="nil"/>
              <w:left w:val="nil"/>
              <w:bottom w:val="nil"/>
              <w:right w:val="nil"/>
            </w:tcBorders>
            <w:noWrap/>
            <w:vAlign w:val="center"/>
          </w:tcPr>
          <w:p w:rsidR="00694CD8" w:rsidRPr="00D07591" w:rsidRDefault="00694CD8" w:rsidP="002D52ED">
            <w:pPr>
              <w:spacing w:after="0" w:line="240" w:lineRule="auto"/>
              <w:jc w:val="center"/>
              <w:rPr>
                <w:b/>
                <w:color w:val="000000"/>
                <w:sz w:val="18"/>
                <w:szCs w:val="18"/>
              </w:rPr>
            </w:pPr>
            <w:r w:rsidRPr="00D07591">
              <w:rPr>
                <w:b/>
                <w:color w:val="000000"/>
                <w:sz w:val="18"/>
                <w:szCs w:val="18"/>
              </w:rPr>
              <w:t>620</w:t>
            </w:r>
          </w:p>
        </w:tc>
        <w:tc>
          <w:tcPr>
            <w:tcW w:w="920" w:type="dxa"/>
            <w:tcBorders>
              <w:top w:val="nil"/>
              <w:left w:val="nil"/>
              <w:bottom w:val="nil"/>
              <w:right w:val="single" w:sz="12" w:space="0" w:color="auto"/>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8 421</w:t>
            </w:r>
          </w:p>
        </w:tc>
        <w:tc>
          <w:tcPr>
            <w:tcW w:w="12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258 491 296</w:t>
            </w:r>
          </w:p>
        </w:tc>
        <w:tc>
          <w:tcPr>
            <w:tcW w:w="1240" w:type="dxa"/>
            <w:tcBorders>
              <w:top w:val="nil"/>
              <w:left w:val="nil"/>
              <w:bottom w:val="nil"/>
              <w:right w:val="nil"/>
            </w:tcBorders>
            <w:noWrap/>
            <w:vAlign w:val="center"/>
          </w:tcPr>
          <w:p w:rsidR="00694CD8" w:rsidRPr="00D07591" w:rsidRDefault="00694CD8" w:rsidP="002D52ED">
            <w:pPr>
              <w:spacing w:after="0" w:line="240" w:lineRule="auto"/>
              <w:jc w:val="center"/>
              <w:rPr>
                <w:b/>
                <w:color w:val="000000"/>
                <w:sz w:val="18"/>
                <w:szCs w:val="18"/>
              </w:rPr>
            </w:pPr>
            <w:r w:rsidRPr="00D07591">
              <w:rPr>
                <w:b/>
                <w:color w:val="000000"/>
                <w:sz w:val="18"/>
                <w:szCs w:val="18"/>
              </w:rPr>
              <w:t>27 692 342</w:t>
            </w:r>
          </w:p>
        </w:tc>
        <w:tc>
          <w:tcPr>
            <w:tcW w:w="12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286 183 648</w:t>
            </w:r>
          </w:p>
        </w:tc>
      </w:tr>
      <w:tr w:rsidR="00694CD8" w:rsidRPr="00D9298C" w:rsidTr="00292A75">
        <w:trPr>
          <w:trHeight w:val="300"/>
        </w:trPr>
        <w:tc>
          <w:tcPr>
            <w:tcW w:w="11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3</w:t>
            </w:r>
          </w:p>
        </w:tc>
        <w:tc>
          <w:tcPr>
            <w:tcW w:w="12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56 022</w:t>
            </w:r>
          </w:p>
        </w:tc>
        <w:tc>
          <w:tcPr>
            <w:tcW w:w="920" w:type="dxa"/>
            <w:tcBorders>
              <w:top w:val="nil"/>
              <w:left w:val="single" w:sz="12" w:space="0" w:color="auto"/>
              <w:bottom w:val="nil"/>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8 101</w:t>
            </w:r>
          </w:p>
        </w:tc>
        <w:tc>
          <w:tcPr>
            <w:tcW w:w="920" w:type="dxa"/>
            <w:tcBorders>
              <w:top w:val="nil"/>
              <w:left w:val="nil"/>
              <w:bottom w:val="nil"/>
              <w:right w:val="nil"/>
            </w:tcBorders>
            <w:noWrap/>
            <w:vAlign w:val="center"/>
          </w:tcPr>
          <w:p w:rsidR="00694CD8" w:rsidRPr="00D07591" w:rsidRDefault="00694CD8" w:rsidP="002D52ED">
            <w:pPr>
              <w:spacing w:after="0" w:line="240" w:lineRule="auto"/>
              <w:jc w:val="center"/>
              <w:rPr>
                <w:b/>
                <w:color w:val="000000"/>
                <w:sz w:val="18"/>
                <w:szCs w:val="18"/>
              </w:rPr>
            </w:pPr>
            <w:r w:rsidRPr="00D07591">
              <w:rPr>
                <w:b/>
                <w:color w:val="000000"/>
                <w:sz w:val="18"/>
                <w:szCs w:val="18"/>
              </w:rPr>
              <w:t>-551</w:t>
            </w:r>
          </w:p>
        </w:tc>
        <w:tc>
          <w:tcPr>
            <w:tcW w:w="920" w:type="dxa"/>
            <w:tcBorders>
              <w:top w:val="nil"/>
              <w:left w:val="nil"/>
              <w:bottom w:val="nil"/>
              <w:right w:val="single" w:sz="12" w:space="0" w:color="auto"/>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7 551</w:t>
            </w:r>
          </w:p>
        </w:tc>
        <w:tc>
          <w:tcPr>
            <w:tcW w:w="12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535 166 080</w:t>
            </w:r>
          </w:p>
        </w:tc>
        <w:tc>
          <w:tcPr>
            <w:tcW w:w="1240" w:type="dxa"/>
            <w:tcBorders>
              <w:top w:val="nil"/>
              <w:left w:val="nil"/>
              <w:bottom w:val="nil"/>
              <w:right w:val="nil"/>
            </w:tcBorders>
            <w:noWrap/>
            <w:vAlign w:val="center"/>
          </w:tcPr>
          <w:p w:rsidR="00694CD8" w:rsidRPr="00D07591" w:rsidRDefault="00694CD8" w:rsidP="002D52ED">
            <w:pPr>
              <w:spacing w:after="0" w:line="240" w:lineRule="auto"/>
              <w:jc w:val="center"/>
              <w:rPr>
                <w:b/>
                <w:color w:val="000000"/>
                <w:sz w:val="18"/>
                <w:szCs w:val="18"/>
              </w:rPr>
            </w:pPr>
            <w:r w:rsidRPr="00D07591">
              <w:rPr>
                <w:b/>
                <w:color w:val="000000"/>
                <w:sz w:val="18"/>
                <w:szCs w:val="18"/>
              </w:rPr>
              <w:t>-31 954 056</w:t>
            </w:r>
          </w:p>
        </w:tc>
        <w:tc>
          <w:tcPr>
            <w:tcW w:w="12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503 212 000</w:t>
            </w:r>
          </w:p>
        </w:tc>
      </w:tr>
      <w:tr w:rsidR="00694CD8" w:rsidRPr="00D9298C" w:rsidTr="00292A75">
        <w:trPr>
          <w:trHeight w:val="300"/>
        </w:trPr>
        <w:tc>
          <w:tcPr>
            <w:tcW w:w="11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4</w:t>
            </w:r>
          </w:p>
        </w:tc>
        <w:tc>
          <w:tcPr>
            <w:tcW w:w="12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79 066</w:t>
            </w:r>
          </w:p>
        </w:tc>
        <w:tc>
          <w:tcPr>
            <w:tcW w:w="920" w:type="dxa"/>
            <w:tcBorders>
              <w:top w:val="nil"/>
              <w:left w:val="single" w:sz="12" w:space="0" w:color="auto"/>
              <w:bottom w:val="nil"/>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9 315</w:t>
            </w:r>
          </w:p>
        </w:tc>
        <w:tc>
          <w:tcPr>
            <w:tcW w:w="920" w:type="dxa"/>
            <w:tcBorders>
              <w:top w:val="nil"/>
              <w:left w:val="nil"/>
              <w:bottom w:val="nil"/>
              <w:right w:val="nil"/>
            </w:tcBorders>
            <w:noWrap/>
            <w:vAlign w:val="center"/>
          </w:tcPr>
          <w:p w:rsidR="00694CD8" w:rsidRPr="00D07591" w:rsidRDefault="00694CD8" w:rsidP="002D52ED">
            <w:pPr>
              <w:spacing w:after="0" w:line="240" w:lineRule="auto"/>
              <w:jc w:val="center"/>
              <w:rPr>
                <w:b/>
                <w:color w:val="000000"/>
                <w:sz w:val="18"/>
                <w:szCs w:val="18"/>
              </w:rPr>
            </w:pPr>
            <w:r w:rsidRPr="00D07591">
              <w:rPr>
                <w:b/>
                <w:color w:val="000000"/>
                <w:sz w:val="18"/>
                <w:szCs w:val="18"/>
              </w:rPr>
              <w:t>-1 783</w:t>
            </w:r>
          </w:p>
        </w:tc>
        <w:tc>
          <w:tcPr>
            <w:tcW w:w="920" w:type="dxa"/>
            <w:tcBorders>
              <w:top w:val="nil"/>
              <w:left w:val="nil"/>
              <w:bottom w:val="nil"/>
              <w:right w:val="single" w:sz="12" w:space="0" w:color="auto"/>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7 531</w:t>
            </w:r>
          </w:p>
        </w:tc>
        <w:tc>
          <w:tcPr>
            <w:tcW w:w="12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667 790 080</w:t>
            </w:r>
          </w:p>
        </w:tc>
        <w:tc>
          <w:tcPr>
            <w:tcW w:w="1240" w:type="dxa"/>
            <w:tcBorders>
              <w:top w:val="nil"/>
              <w:left w:val="nil"/>
              <w:bottom w:val="nil"/>
              <w:right w:val="nil"/>
            </w:tcBorders>
            <w:noWrap/>
            <w:vAlign w:val="center"/>
          </w:tcPr>
          <w:p w:rsidR="00694CD8" w:rsidRPr="00D07591" w:rsidRDefault="00694CD8" w:rsidP="002D52ED">
            <w:pPr>
              <w:spacing w:after="0" w:line="240" w:lineRule="auto"/>
              <w:jc w:val="center"/>
              <w:rPr>
                <w:b/>
                <w:color w:val="000000"/>
                <w:sz w:val="18"/>
                <w:szCs w:val="18"/>
              </w:rPr>
            </w:pPr>
            <w:r w:rsidRPr="00D07591">
              <w:rPr>
                <w:b/>
                <w:color w:val="000000"/>
                <w:sz w:val="18"/>
                <w:szCs w:val="18"/>
              </w:rPr>
              <w:t>-136 472 080</w:t>
            </w:r>
          </w:p>
        </w:tc>
        <w:tc>
          <w:tcPr>
            <w:tcW w:w="12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531 318 016</w:t>
            </w:r>
          </w:p>
        </w:tc>
      </w:tr>
      <w:tr w:rsidR="00694CD8" w:rsidRPr="00D9298C" w:rsidTr="00292A75">
        <w:trPr>
          <w:trHeight w:val="300"/>
        </w:trPr>
        <w:tc>
          <w:tcPr>
            <w:tcW w:w="11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5</w:t>
            </w:r>
          </w:p>
        </w:tc>
        <w:tc>
          <w:tcPr>
            <w:tcW w:w="12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103 269</w:t>
            </w:r>
          </w:p>
        </w:tc>
        <w:tc>
          <w:tcPr>
            <w:tcW w:w="920" w:type="dxa"/>
            <w:tcBorders>
              <w:top w:val="nil"/>
              <w:left w:val="single" w:sz="12" w:space="0" w:color="auto"/>
              <w:bottom w:val="nil"/>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10 280</w:t>
            </w:r>
          </w:p>
        </w:tc>
        <w:tc>
          <w:tcPr>
            <w:tcW w:w="920" w:type="dxa"/>
            <w:tcBorders>
              <w:top w:val="nil"/>
              <w:left w:val="nil"/>
              <w:bottom w:val="nil"/>
              <w:right w:val="nil"/>
            </w:tcBorders>
            <w:noWrap/>
            <w:vAlign w:val="center"/>
          </w:tcPr>
          <w:p w:rsidR="00694CD8" w:rsidRPr="00D07591" w:rsidRDefault="00694CD8" w:rsidP="002D52ED">
            <w:pPr>
              <w:spacing w:after="0" w:line="240" w:lineRule="auto"/>
              <w:jc w:val="center"/>
              <w:rPr>
                <w:b/>
                <w:color w:val="000000"/>
                <w:sz w:val="18"/>
                <w:szCs w:val="18"/>
              </w:rPr>
            </w:pPr>
            <w:r w:rsidRPr="00D07591">
              <w:rPr>
                <w:b/>
                <w:color w:val="000000"/>
                <w:sz w:val="18"/>
                <w:szCs w:val="18"/>
              </w:rPr>
              <w:t>-2 473</w:t>
            </w:r>
          </w:p>
        </w:tc>
        <w:tc>
          <w:tcPr>
            <w:tcW w:w="920" w:type="dxa"/>
            <w:tcBorders>
              <w:top w:val="nil"/>
              <w:left w:val="nil"/>
              <w:bottom w:val="nil"/>
              <w:right w:val="single" w:sz="12" w:space="0" w:color="auto"/>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7 807</w:t>
            </w:r>
          </w:p>
        </w:tc>
        <w:tc>
          <w:tcPr>
            <w:tcW w:w="12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517 610 752</w:t>
            </w:r>
          </w:p>
        </w:tc>
        <w:tc>
          <w:tcPr>
            <w:tcW w:w="1240" w:type="dxa"/>
            <w:tcBorders>
              <w:top w:val="nil"/>
              <w:left w:val="nil"/>
              <w:bottom w:val="nil"/>
              <w:right w:val="nil"/>
            </w:tcBorders>
            <w:noWrap/>
            <w:vAlign w:val="center"/>
          </w:tcPr>
          <w:p w:rsidR="00694CD8" w:rsidRPr="00D07591" w:rsidRDefault="00694CD8" w:rsidP="002D52ED">
            <w:pPr>
              <w:spacing w:after="0" w:line="240" w:lineRule="auto"/>
              <w:jc w:val="center"/>
              <w:rPr>
                <w:b/>
                <w:color w:val="000000"/>
                <w:sz w:val="18"/>
                <w:szCs w:val="18"/>
              </w:rPr>
            </w:pPr>
            <w:r w:rsidRPr="00D07591">
              <w:rPr>
                <w:b/>
                <w:color w:val="000000"/>
                <w:sz w:val="18"/>
                <w:szCs w:val="18"/>
              </w:rPr>
              <w:t>-130 613 488</w:t>
            </w:r>
          </w:p>
        </w:tc>
        <w:tc>
          <w:tcPr>
            <w:tcW w:w="12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386 997 248</w:t>
            </w:r>
          </w:p>
        </w:tc>
      </w:tr>
      <w:tr w:rsidR="00694CD8" w:rsidRPr="00D9298C" w:rsidTr="00292A75">
        <w:trPr>
          <w:trHeight w:val="300"/>
        </w:trPr>
        <w:tc>
          <w:tcPr>
            <w:tcW w:w="11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6</w:t>
            </w:r>
          </w:p>
        </w:tc>
        <w:tc>
          <w:tcPr>
            <w:tcW w:w="12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118 479</w:t>
            </w:r>
          </w:p>
        </w:tc>
        <w:tc>
          <w:tcPr>
            <w:tcW w:w="920" w:type="dxa"/>
            <w:tcBorders>
              <w:top w:val="nil"/>
              <w:left w:val="single" w:sz="12" w:space="0" w:color="auto"/>
              <w:bottom w:val="nil"/>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11 420</w:t>
            </w:r>
          </w:p>
        </w:tc>
        <w:tc>
          <w:tcPr>
            <w:tcW w:w="920" w:type="dxa"/>
            <w:tcBorders>
              <w:top w:val="nil"/>
              <w:left w:val="nil"/>
              <w:bottom w:val="nil"/>
              <w:right w:val="nil"/>
            </w:tcBorders>
            <w:noWrap/>
            <w:vAlign w:val="center"/>
          </w:tcPr>
          <w:p w:rsidR="00694CD8" w:rsidRPr="00D07591" w:rsidRDefault="00694CD8" w:rsidP="002D52ED">
            <w:pPr>
              <w:spacing w:after="0" w:line="240" w:lineRule="auto"/>
              <w:jc w:val="center"/>
              <w:rPr>
                <w:b/>
                <w:color w:val="000000"/>
                <w:sz w:val="18"/>
                <w:szCs w:val="18"/>
              </w:rPr>
            </w:pPr>
            <w:r w:rsidRPr="00D07591">
              <w:rPr>
                <w:b/>
                <w:color w:val="000000"/>
                <w:sz w:val="18"/>
                <w:szCs w:val="18"/>
              </w:rPr>
              <w:t>-3 124</w:t>
            </w:r>
          </w:p>
        </w:tc>
        <w:tc>
          <w:tcPr>
            <w:tcW w:w="920" w:type="dxa"/>
            <w:tcBorders>
              <w:top w:val="nil"/>
              <w:left w:val="nil"/>
              <w:bottom w:val="nil"/>
              <w:right w:val="single" w:sz="12" w:space="0" w:color="auto"/>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8 297</w:t>
            </w:r>
          </w:p>
        </w:tc>
        <w:tc>
          <w:tcPr>
            <w:tcW w:w="12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992 604 544</w:t>
            </w:r>
          </w:p>
        </w:tc>
        <w:tc>
          <w:tcPr>
            <w:tcW w:w="1240" w:type="dxa"/>
            <w:tcBorders>
              <w:top w:val="nil"/>
              <w:left w:val="nil"/>
              <w:bottom w:val="nil"/>
              <w:right w:val="nil"/>
            </w:tcBorders>
            <w:noWrap/>
            <w:vAlign w:val="center"/>
          </w:tcPr>
          <w:p w:rsidR="00694CD8" w:rsidRPr="00D07591" w:rsidRDefault="00694CD8" w:rsidP="002D52ED">
            <w:pPr>
              <w:spacing w:after="0" w:line="240" w:lineRule="auto"/>
              <w:jc w:val="center"/>
              <w:rPr>
                <w:b/>
                <w:color w:val="000000"/>
                <w:sz w:val="18"/>
                <w:szCs w:val="18"/>
              </w:rPr>
            </w:pPr>
            <w:r w:rsidRPr="00D07591">
              <w:rPr>
                <w:b/>
                <w:color w:val="000000"/>
                <w:sz w:val="18"/>
                <w:szCs w:val="18"/>
              </w:rPr>
              <w:t>-274 420 960</w:t>
            </w:r>
          </w:p>
        </w:tc>
        <w:tc>
          <w:tcPr>
            <w:tcW w:w="12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718 183 616</w:t>
            </w:r>
          </w:p>
        </w:tc>
      </w:tr>
      <w:tr w:rsidR="00694CD8" w:rsidRPr="00D9298C" w:rsidTr="00292A75">
        <w:trPr>
          <w:trHeight w:val="300"/>
        </w:trPr>
        <w:tc>
          <w:tcPr>
            <w:tcW w:w="11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7</w:t>
            </w:r>
          </w:p>
        </w:tc>
        <w:tc>
          <w:tcPr>
            <w:tcW w:w="12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130 215</w:t>
            </w:r>
          </w:p>
        </w:tc>
        <w:tc>
          <w:tcPr>
            <w:tcW w:w="920" w:type="dxa"/>
            <w:tcBorders>
              <w:top w:val="nil"/>
              <w:left w:val="single" w:sz="12" w:space="0" w:color="auto"/>
              <w:bottom w:val="nil"/>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10 863</w:t>
            </w:r>
          </w:p>
        </w:tc>
        <w:tc>
          <w:tcPr>
            <w:tcW w:w="920" w:type="dxa"/>
            <w:tcBorders>
              <w:top w:val="nil"/>
              <w:left w:val="nil"/>
              <w:bottom w:val="nil"/>
              <w:right w:val="nil"/>
            </w:tcBorders>
            <w:noWrap/>
            <w:vAlign w:val="center"/>
          </w:tcPr>
          <w:p w:rsidR="00694CD8" w:rsidRPr="00D07591" w:rsidRDefault="00694CD8" w:rsidP="002D52ED">
            <w:pPr>
              <w:spacing w:after="0" w:line="240" w:lineRule="auto"/>
              <w:jc w:val="center"/>
              <w:rPr>
                <w:b/>
                <w:color w:val="000000"/>
                <w:sz w:val="18"/>
                <w:szCs w:val="18"/>
              </w:rPr>
            </w:pPr>
            <w:r w:rsidRPr="00D07591">
              <w:rPr>
                <w:b/>
                <w:color w:val="000000"/>
                <w:sz w:val="18"/>
                <w:szCs w:val="18"/>
              </w:rPr>
              <w:t>-2 330</w:t>
            </w:r>
          </w:p>
        </w:tc>
        <w:tc>
          <w:tcPr>
            <w:tcW w:w="920" w:type="dxa"/>
            <w:tcBorders>
              <w:top w:val="nil"/>
              <w:left w:val="nil"/>
              <w:bottom w:val="nil"/>
              <w:right w:val="single" w:sz="12" w:space="0" w:color="auto"/>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8 533</w:t>
            </w:r>
          </w:p>
        </w:tc>
        <w:tc>
          <w:tcPr>
            <w:tcW w:w="12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515 217 728</w:t>
            </w:r>
          </w:p>
        </w:tc>
        <w:tc>
          <w:tcPr>
            <w:tcW w:w="1240" w:type="dxa"/>
            <w:tcBorders>
              <w:top w:val="nil"/>
              <w:left w:val="nil"/>
              <w:bottom w:val="nil"/>
              <w:right w:val="nil"/>
            </w:tcBorders>
            <w:noWrap/>
            <w:vAlign w:val="center"/>
          </w:tcPr>
          <w:p w:rsidR="00694CD8" w:rsidRPr="00D07591" w:rsidRDefault="00694CD8" w:rsidP="002D52ED">
            <w:pPr>
              <w:spacing w:after="0" w:line="240" w:lineRule="auto"/>
              <w:jc w:val="center"/>
              <w:rPr>
                <w:b/>
                <w:color w:val="000000"/>
                <w:sz w:val="18"/>
                <w:szCs w:val="18"/>
              </w:rPr>
            </w:pPr>
            <w:r w:rsidRPr="00D07591">
              <w:rPr>
                <w:b/>
                <w:color w:val="000000"/>
                <w:sz w:val="18"/>
                <w:szCs w:val="18"/>
              </w:rPr>
              <w:t>-102 662 552</w:t>
            </w:r>
          </w:p>
        </w:tc>
        <w:tc>
          <w:tcPr>
            <w:tcW w:w="12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412 555 168</w:t>
            </w:r>
          </w:p>
        </w:tc>
      </w:tr>
      <w:tr w:rsidR="00694CD8" w:rsidRPr="00D9298C" w:rsidTr="00292A75">
        <w:trPr>
          <w:trHeight w:val="300"/>
        </w:trPr>
        <w:tc>
          <w:tcPr>
            <w:tcW w:w="11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8</w:t>
            </w:r>
          </w:p>
        </w:tc>
        <w:tc>
          <w:tcPr>
            <w:tcW w:w="12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157 440</w:t>
            </w:r>
          </w:p>
        </w:tc>
        <w:tc>
          <w:tcPr>
            <w:tcW w:w="920" w:type="dxa"/>
            <w:tcBorders>
              <w:top w:val="nil"/>
              <w:left w:val="single" w:sz="12" w:space="0" w:color="auto"/>
              <w:bottom w:val="nil"/>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12 578</w:t>
            </w:r>
          </w:p>
        </w:tc>
        <w:tc>
          <w:tcPr>
            <w:tcW w:w="920" w:type="dxa"/>
            <w:tcBorders>
              <w:top w:val="nil"/>
              <w:left w:val="nil"/>
              <w:bottom w:val="nil"/>
              <w:right w:val="nil"/>
            </w:tcBorders>
            <w:noWrap/>
            <w:vAlign w:val="center"/>
          </w:tcPr>
          <w:p w:rsidR="00694CD8" w:rsidRPr="00D07591" w:rsidRDefault="00694CD8" w:rsidP="002D52ED">
            <w:pPr>
              <w:spacing w:after="0" w:line="240" w:lineRule="auto"/>
              <w:jc w:val="center"/>
              <w:rPr>
                <w:b/>
                <w:color w:val="000000"/>
                <w:sz w:val="18"/>
                <w:szCs w:val="18"/>
              </w:rPr>
            </w:pPr>
            <w:r w:rsidRPr="00D07591">
              <w:rPr>
                <w:b/>
                <w:color w:val="000000"/>
                <w:sz w:val="18"/>
                <w:szCs w:val="18"/>
              </w:rPr>
              <w:t>-2 177</w:t>
            </w:r>
          </w:p>
        </w:tc>
        <w:tc>
          <w:tcPr>
            <w:tcW w:w="920" w:type="dxa"/>
            <w:tcBorders>
              <w:top w:val="nil"/>
              <w:left w:val="nil"/>
              <w:bottom w:val="nil"/>
              <w:right w:val="single" w:sz="12" w:space="0" w:color="auto"/>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10 401</w:t>
            </w:r>
          </w:p>
        </w:tc>
        <w:tc>
          <w:tcPr>
            <w:tcW w:w="12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798 819 264</w:t>
            </w:r>
          </w:p>
        </w:tc>
        <w:tc>
          <w:tcPr>
            <w:tcW w:w="1240" w:type="dxa"/>
            <w:tcBorders>
              <w:top w:val="nil"/>
              <w:left w:val="nil"/>
              <w:bottom w:val="nil"/>
              <w:right w:val="nil"/>
            </w:tcBorders>
            <w:noWrap/>
            <w:vAlign w:val="center"/>
          </w:tcPr>
          <w:p w:rsidR="00694CD8" w:rsidRPr="00D07591" w:rsidRDefault="00694CD8" w:rsidP="002D52ED">
            <w:pPr>
              <w:spacing w:after="0" w:line="240" w:lineRule="auto"/>
              <w:jc w:val="center"/>
              <w:rPr>
                <w:b/>
                <w:color w:val="000000"/>
                <w:sz w:val="18"/>
                <w:szCs w:val="18"/>
              </w:rPr>
            </w:pPr>
            <w:r w:rsidRPr="00D07591">
              <w:rPr>
                <w:b/>
                <w:color w:val="000000"/>
                <w:sz w:val="18"/>
                <w:szCs w:val="18"/>
              </w:rPr>
              <w:t>-132 295 968</w:t>
            </w:r>
          </w:p>
        </w:tc>
        <w:tc>
          <w:tcPr>
            <w:tcW w:w="12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666 523 264</w:t>
            </w:r>
          </w:p>
        </w:tc>
      </w:tr>
      <w:tr w:rsidR="00694CD8" w:rsidRPr="00D9298C" w:rsidTr="00292A75">
        <w:trPr>
          <w:trHeight w:val="300"/>
        </w:trPr>
        <w:tc>
          <w:tcPr>
            <w:tcW w:w="11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9</w:t>
            </w:r>
          </w:p>
        </w:tc>
        <w:tc>
          <w:tcPr>
            <w:tcW w:w="12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186 386</w:t>
            </w:r>
          </w:p>
        </w:tc>
        <w:tc>
          <w:tcPr>
            <w:tcW w:w="920" w:type="dxa"/>
            <w:tcBorders>
              <w:top w:val="nil"/>
              <w:left w:val="single" w:sz="12" w:space="0" w:color="auto"/>
              <w:bottom w:val="nil"/>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13 813</w:t>
            </w:r>
          </w:p>
        </w:tc>
        <w:tc>
          <w:tcPr>
            <w:tcW w:w="920" w:type="dxa"/>
            <w:tcBorders>
              <w:top w:val="nil"/>
              <w:left w:val="nil"/>
              <w:bottom w:val="nil"/>
              <w:right w:val="nil"/>
            </w:tcBorders>
            <w:noWrap/>
            <w:vAlign w:val="center"/>
          </w:tcPr>
          <w:p w:rsidR="00694CD8" w:rsidRPr="00D07591" w:rsidRDefault="00694CD8" w:rsidP="002D52ED">
            <w:pPr>
              <w:spacing w:after="0" w:line="240" w:lineRule="auto"/>
              <w:jc w:val="center"/>
              <w:rPr>
                <w:b/>
                <w:color w:val="000000"/>
                <w:sz w:val="18"/>
                <w:szCs w:val="18"/>
              </w:rPr>
            </w:pPr>
            <w:r w:rsidRPr="00D07591">
              <w:rPr>
                <w:b/>
                <w:color w:val="000000"/>
                <w:sz w:val="18"/>
                <w:szCs w:val="18"/>
              </w:rPr>
              <w:t>-1 698</w:t>
            </w:r>
          </w:p>
        </w:tc>
        <w:tc>
          <w:tcPr>
            <w:tcW w:w="920" w:type="dxa"/>
            <w:tcBorders>
              <w:top w:val="nil"/>
              <w:left w:val="nil"/>
              <w:bottom w:val="nil"/>
              <w:right w:val="single" w:sz="12" w:space="0" w:color="auto"/>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12 115</w:t>
            </w:r>
          </w:p>
        </w:tc>
        <w:tc>
          <w:tcPr>
            <w:tcW w:w="12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873 994 560</w:t>
            </w:r>
          </w:p>
        </w:tc>
        <w:tc>
          <w:tcPr>
            <w:tcW w:w="1240" w:type="dxa"/>
            <w:tcBorders>
              <w:top w:val="nil"/>
              <w:left w:val="nil"/>
              <w:bottom w:val="nil"/>
              <w:right w:val="nil"/>
            </w:tcBorders>
            <w:noWrap/>
            <w:vAlign w:val="center"/>
          </w:tcPr>
          <w:p w:rsidR="00694CD8" w:rsidRPr="00D07591" w:rsidRDefault="00694CD8" w:rsidP="002D52ED">
            <w:pPr>
              <w:spacing w:after="0" w:line="240" w:lineRule="auto"/>
              <w:jc w:val="center"/>
              <w:rPr>
                <w:b/>
                <w:color w:val="000000"/>
                <w:sz w:val="18"/>
                <w:szCs w:val="18"/>
              </w:rPr>
            </w:pPr>
            <w:r w:rsidRPr="00D07591">
              <w:rPr>
                <w:b/>
                <w:color w:val="000000"/>
                <w:sz w:val="18"/>
                <w:szCs w:val="18"/>
              </w:rPr>
              <w:t>-106 587 360</w:t>
            </w:r>
          </w:p>
        </w:tc>
        <w:tc>
          <w:tcPr>
            <w:tcW w:w="12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767 407 168</w:t>
            </w:r>
          </w:p>
        </w:tc>
      </w:tr>
      <w:tr w:rsidR="00694CD8" w:rsidRPr="00D9298C" w:rsidTr="00292A75">
        <w:trPr>
          <w:trHeight w:val="300"/>
        </w:trPr>
        <w:tc>
          <w:tcPr>
            <w:tcW w:w="11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10</w:t>
            </w:r>
          </w:p>
        </w:tc>
        <w:tc>
          <w:tcPr>
            <w:tcW w:w="12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216 603</w:t>
            </w:r>
          </w:p>
        </w:tc>
        <w:tc>
          <w:tcPr>
            <w:tcW w:w="920" w:type="dxa"/>
            <w:tcBorders>
              <w:top w:val="nil"/>
              <w:left w:val="single" w:sz="12" w:space="0" w:color="auto"/>
              <w:bottom w:val="nil"/>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15 312</w:t>
            </w:r>
          </w:p>
        </w:tc>
        <w:tc>
          <w:tcPr>
            <w:tcW w:w="920" w:type="dxa"/>
            <w:tcBorders>
              <w:top w:val="nil"/>
              <w:left w:val="nil"/>
              <w:bottom w:val="nil"/>
              <w:right w:val="nil"/>
            </w:tcBorders>
            <w:noWrap/>
            <w:vAlign w:val="center"/>
          </w:tcPr>
          <w:p w:rsidR="00694CD8" w:rsidRPr="00D07591" w:rsidRDefault="00694CD8" w:rsidP="002D52ED">
            <w:pPr>
              <w:spacing w:after="0" w:line="240" w:lineRule="auto"/>
              <w:jc w:val="center"/>
              <w:rPr>
                <w:b/>
                <w:color w:val="000000"/>
                <w:sz w:val="18"/>
                <w:szCs w:val="18"/>
              </w:rPr>
            </w:pPr>
            <w:r w:rsidRPr="00D07591">
              <w:rPr>
                <w:b/>
                <w:color w:val="000000"/>
                <w:sz w:val="18"/>
                <w:szCs w:val="18"/>
              </w:rPr>
              <w:t>-1 240</w:t>
            </w:r>
          </w:p>
        </w:tc>
        <w:tc>
          <w:tcPr>
            <w:tcW w:w="920" w:type="dxa"/>
            <w:tcBorders>
              <w:top w:val="nil"/>
              <w:left w:val="nil"/>
              <w:bottom w:val="nil"/>
              <w:right w:val="single" w:sz="12" w:space="0" w:color="auto"/>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14 072</w:t>
            </w:r>
          </w:p>
        </w:tc>
        <w:tc>
          <w:tcPr>
            <w:tcW w:w="12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1 107 746 176</w:t>
            </w:r>
          </w:p>
        </w:tc>
        <w:tc>
          <w:tcPr>
            <w:tcW w:w="1240" w:type="dxa"/>
            <w:tcBorders>
              <w:top w:val="nil"/>
              <w:left w:val="nil"/>
              <w:bottom w:val="nil"/>
              <w:right w:val="nil"/>
            </w:tcBorders>
            <w:noWrap/>
            <w:vAlign w:val="center"/>
          </w:tcPr>
          <w:p w:rsidR="00694CD8" w:rsidRPr="00D07591" w:rsidRDefault="00694CD8" w:rsidP="002D52ED">
            <w:pPr>
              <w:spacing w:after="0" w:line="240" w:lineRule="auto"/>
              <w:jc w:val="center"/>
              <w:rPr>
                <w:b/>
                <w:color w:val="000000"/>
                <w:sz w:val="18"/>
                <w:szCs w:val="18"/>
              </w:rPr>
            </w:pPr>
            <w:r w:rsidRPr="00D07591">
              <w:rPr>
                <w:b/>
                <w:color w:val="000000"/>
                <w:sz w:val="18"/>
                <w:szCs w:val="18"/>
              </w:rPr>
              <w:t>-89 007 248</w:t>
            </w:r>
          </w:p>
        </w:tc>
        <w:tc>
          <w:tcPr>
            <w:tcW w:w="12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1 018 738 944</w:t>
            </w:r>
          </w:p>
        </w:tc>
      </w:tr>
      <w:tr w:rsidR="00694CD8" w:rsidRPr="00D9298C" w:rsidTr="00292A75">
        <w:trPr>
          <w:trHeight w:val="300"/>
        </w:trPr>
        <w:tc>
          <w:tcPr>
            <w:tcW w:w="11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11</w:t>
            </w:r>
          </w:p>
        </w:tc>
        <w:tc>
          <w:tcPr>
            <w:tcW w:w="12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219 990</w:t>
            </w:r>
          </w:p>
        </w:tc>
        <w:tc>
          <w:tcPr>
            <w:tcW w:w="920" w:type="dxa"/>
            <w:tcBorders>
              <w:top w:val="nil"/>
              <w:left w:val="single" w:sz="12" w:space="0" w:color="auto"/>
              <w:bottom w:val="nil"/>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15 009</w:t>
            </w:r>
          </w:p>
        </w:tc>
        <w:tc>
          <w:tcPr>
            <w:tcW w:w="920" w:type="dxa"/>
            <w:tcBorders>
              <w:top w:val="nil"/>
              <w:left w:val="nil"/>
              <w:bottom w:val="nil"/>
              <w:right w:val="nil"/>
            </w:tcBorders>
            <w:noWrap/>
            <w:vAlign w:val="center"/>
          </w:tcPr>
          <w:p w:rsidR="00694CD8" w:rsidRPr="00D07591" w:rsidRDefault="00694CD8" w:rsidP="002D52ED">
            <w:pPr>
              <w:spacing w:after="0" w:line="240" w:lineRule="auto"/>
              <w:jc w:val="center"/>
              <w:rPr>
                <w:b/>
                <w:color w:val="000000"/>
                <w:sz w:val="18"/>
                <w:szCs w:val="18"/>
              </w:rPr>
            </w:pPr>
            <w:r w:rsidRPr="00D07591">
              <w:rPr>
                <w:b/>
                <w:color w:val="000000"/>
                <w:sz w:val="18"/>
                <w:szCs w:val="18"/>
              </w:rPr>
              <w:t>-710</w:t>
            </w:r>
          </w:p>
        </w:tc>
        <w:tc>
          <w:tcPr>
            <w:tcW w:w="920" w:type="dxa"/>
            <w:tcBorders>
              <w:top w:val="nil"/>
              <w:left w:val="nil"/>
              <w:bottom w:val="nil"/>
              <w:right w:val="single" w:sz="12" w:space="0" w:color="auto"/>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14 299</w:t>
            </w:r>
          </w:p>
        </w:tc>
        <w:tc>
          <w:tcPr>
            <w:tcW w:w="12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1 059 953 920</w:t>
            </w:r>
          </w:p>
        </w:tc>
        <w:tc>
          <w:tcPr>
            <w:tcW w:w="1240" w:type="dxa"/>
            <w:tcBorders>
              <w:top w:val="nil"/>
              <w:left w:val="nil"/>
              <w:bottom w:val="nil"/>
              <w:right w:val="nil"/>
            </w:tcBorders>
            <w:noWrap/>
            <w:vAlign w:val="center"/>
          </w:tcPr>
          <w:p w:rsidR="00694CD8" w:rsidRPr="00D07591" w:rsidRDefault="00694CD8" w:rsidP="002D52ED">
            <w:pPr>
              <w:spacing w:after="0" w:line="240" w:lineRule="auto"/>
              <w:jc w:val="center"/>
              <w:rPr>
                <w:b/>
                <w:color w:val="000000"/>
                <w:sz w:val="18"/>
                <w:szCs w:val="18"/>
              </w:rPr>
            </w:pPr>
            <w:r w:rsidRPr="00D07591">
              <w:rPr>
                <w:b/>
                <w:color w:val="000000"/>
                <w:sz w:val="18"/>
                <w:szCs w:val="18"/>
              </w:rPr>
              <w:t>-47 779 200</w:t>
            </w:r>
          </w:p>
        </w:tc>
        <w:tc>
          <w:tcPr>
            <w:tcW w:w="12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1 012 174 720</w:t>
            </w:r>
          </w:p>
        </w:tc>
      </w:tr>
      <w:tr w:rsidR="00694CD8" w:rsidRPr="00D9298C" w:rsidTr="00292A75">
        <w:trPr>
          <w:trHeight w:val="315"/>
        </w:trPr>
        <w:tc>
          <w:tcPr>
            <w:tcW w:w="114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12</w:t>
            </w:r>
          </w:p>
        </w:tc>
        <w:tc>
          <w:tcPr>
            <w:tcW w:w="124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290 991</w:t>
            </w:r>
          </w:p>
        </w:tc>
        <w:tc>
          <w:tcPr>
            <w:tcW w:w="920" w:type="dxa"/>
            <w:tcBorders>
              <w:top w:val="nil"/>
              <w:left w:val="single" w:sz="12" w:space="0" w:color="auto"/>
              <w:bottom w:val="single" w:sz="12" w:space="0" w:color="auto"/>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18 822</w:t>
            </w:r>
          </w:p>
        </w:tc>
        <w:tc>
          <w:tcPr>
            <w:tcW w:w="92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b/>
                <w:color w:val="000000"/>
                <w:sz w:val="18"/>
                <w:szCs w:val="18"/>
              </w:rPr>
            </w:pPr>
            <w:r w:rsidRPr="00D07591">
              <w:rPr>
                <w:b/>
                <w:color w:val="000000"/>
                <w:sz w:val="18"/>
                <w:szCs w:val="18"/>
              </w:rPr>
              <w:t>0</w:t>
            </w:r>
          </w:p>
        </w:tc>
        <w:tc>
          <w:tcPr>
            <w:tcW w:w="920" w:type="dxa"/>
            <w:tcBorders>
              <w:top w:val="nil"/>
              <w:left w:val="nil"/>
              <w:bottom w:val="single" w:sz="12" w:space="0" w:color="auto"/>
              <w:right w:val="single" w:sz="12" w:space="0" w:color="auto"/>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18 822</w:t>
            </w:r>
          </w:p>
        </w:tc>
        <w:tc>
          <w:tcPr>
            <w:tcW w:w="124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 </w:t>
            </w:r>
          </w:p>
        </w:tc>
        <w:tc>
          <w:tcPr>
            <w:tcW w:w="124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b/>
                <w:color w:val="000000"/>
                <w:sz w:val="18"/>
                <w:szCs w:val="18"/>
              </w:rPr>
            </w:pPr>
            <w:r w:rsidRPr="00D07591">
              <w:rPr>
                <w:b/>
                <w:color w:val="000000"/>
                <w:sz w:val="18"/>
                <w:szCs w:val="18"/>
              </w:rPr>
              <w:t> </w:t>
            </w:r>
          </w:p>
        </w:tc>
        <w:tc>
          <w:tcPr>
            <w:tcW w:w="124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sz w:val="18"/>
                <w:szCs w:val="18"/>
              </w:rPr>
            </w:pPr>
            <w:r w:rsidRPr="00D07591">
              <w:rPr>
                <w:color w:val="000000"/>
                <w:sz w:val="18"/>
                <w:szCs w:val="18"/>
              </w:rPr>
              <w:t> </w:t>
            </w:r>
          </w:p>
        </w:tc>
      </w:tr>
      <w:tr w:rsidR="00694CD8" w:rsidRPr="00D9298C" w:rsidTr="00292A75">
        <w:trPr>
          <w:trHeight w:val="330"/>
        </w:trPr>
        <w:tc>
          <w:tcPr>
            <w:tcW w:w="114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b/>
                <w:color w:val="000000"/>
                <w:sz w:val="18"/>
                <w:szCs w:val="18"/>
              </w:rPr>
            </w:pPr>
            <w:r w:rsidRPr="00D07591">
              <w:rPr>
                <w:b/>
                <w:color w:val="000000"/>
                <w:sz w:val="18"/>
                <w:szCs w:val="18"/>
              </w:rPr>
              <w:t>Celkem</w:t>
            </w:r>
          </w:p>
        </w:tc>
        <w:tc>
          <w:tcPr>
            <w:tcW w:w="124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b/>
                <w:color w:val="000000"/>
                <w:sz w:val="18"/>
                <w:szCs w:val="18"/>
              </w:rPr>
            </w:pPr>
            <w:r w:rsidRPr="00D07591">
              <w:rPr>
                <w:b/>
                <w:color w:val="000000"/>
                <w:sz w:val="18"/>
                <w:szCs w:val="18"/>
              </w:rPr>
              <w:t> </w:t>
            </w:r>
          </w:p>
        </w:tc>
        <w:tc>
          <w:tcPr>
            <w:tcW w:w="920" w:type="dxa"/>
            <w:tcBorders>
              <w:top w:val="nil"/>
              <w:left w:val="single" w:sz="12" w:space="0" w:color="auto"/>
              <w:bottom w:val="single" w:sz="12" w:space="0" w:color="auto"/>
              <w:right w:val="nil"/>
            </w:tcBorders>
            <w:noWrap/>
            <w:vAlign w:val="center"/>
          </w:tcPr>
          <w:p w:rsidR="00694CD8" w:rsidRPr="00D07591" w:rsidRDefault="00694CD8" w:rsidP="002D52ED">
            <w:pPr>
              <w:spacing w:after="0" w:line="240" w:lineRule="auto"/>
              <w:jc w:val="center"/>
              <w:rPr>
                <w:b/>
                <w:color w:val="000000"/>
                <w:sz w:val="18"/>
                <w:szCs w:val="18"/>
              </w:rPr>
            </w:pPr>
            <w:r w:rsidRPr="00D07591">
              <w:rPr>
                <w:b/>
                <w:color w:val="000000"/>
                <w:sz w:val="18"/>
                <w:szCs w:val="18"/>
              </w:rPr>
              <w:t> </w:t>
            </w:r>
          </w:p>
        </w:tc>
        <w:tc>
          <w:tcPr>
            <w:tcW w:w="92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b/>
                <w:color w:val="000000"/>
                <w:sz w:val="18"/>
                <w:szCs w:val="18"/>
              </w:rPr>
            </w:pPr>
            <w:r w:rsidRPr="00D07591">
              <w:rPr>
                <w:b/>
                <w:color w:val="000000"/>
                <w:sz w:val="18"/>
                <w:szCs w:val="18"/>
              </w:rPr>
              <w:t> </w:t>
            </w:r>
          </w:p>
        </w:tc>
        <w:tc>
          <w:tcPr>
            <w:tcW w:w="920" w:type="dxa"/>
            <w:tcBorders>
              <w:top w:val="nil"/>
              <w:left w:val="nil"/>
              <w:bottom w:val="single" w:sz="12" w:space="0" w:color="auto"/>
              <w:right w:val="single" w:sz="12" w:space="0" w:color="auto"/>
            </w:tcBorders>
            <w:noWrap/>
            <w:vAlign w:val="center"/>
          </w:tcPr>
          <w:p w:rsidR="00694CD8" w:rsidRPr="00D07591" w:rsidRDefault="00694CD8" w:rsidP="002D52ED">
            <w:pPr>
              <w:spacing w:after="0" w:line="240" w:lineRule="auto"/>
              <w:jc w:val="center"/>
              <w:rPr>
                <w:b/>
                <w:color w:val="000000"/>
                <w:sz w:val="18"/>
                <w:szCs w:val="18"/>
              </w:rPr>
            </w:pPr>
            <w:r w:rsidRPr="00D07591">
              <w:rPr>
                <w:b/>
                <w:color w:val="000000"/>
                <w:sz w:val="18"/>
                <w:szCs w:val="18"/>
              </w:rPr>
              <w:t> </w:t>
            </w:r>
          </w:p>
        </w:tc>
        <w:tc>
          <w:tcPr>
            <w:tcW w:w="124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b/>
                <w:color w:val="000000"/>
                <w:sz w:val="18"/>
                <w:szCs w:val="18"/>
              </w:rPr>
            </w:pPr>
            <w:r w:rsidRPr="00D07591">
              <w:rPr>
                <w:b/>
                <w:color w:val="000000"/>
                <w:sz w:val="18"/>
                <w:szCs w:val="18"/>
              </w:rPr>
              <w:t>7 576 499 712</w:t>
            </w:r>
          </w:p>
        </w:tc>
        <w:tc>
          <w:tcPr>
            <w:tcW w:w="124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b/>
                <w:color w:val="000000"/>
                <w:sz w:val="18"/>
                <w:szCs w:val="18"/>
              </w:rPr>
            </w:pPr>
            <w:r w:rsidRPr="00D07591">
              <w:rPr>
                <w:b/>
                <w:color w:val="000000"/>
                <w:sz w:val="18"/>
                <w:szCs w:val="18"/>
              </w:rPr>
              <w:t>-985 268 736</w:t>
            </w:r>
          </w:p>
        </w:tc>
        <w:tc>
          <w:tcPr>
            <w:tcW w:w="124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b/>
                <w:color w:val="000000"/>
                <w:sz w:val="18"/>
                <w:szCs w:val="18"/>
              </w:rPr>
            </w:pPr>
            <w:r w:rsidRPr="00D07591">
              <w:rPr>
                <w:b/>
                <w:color w:val="000000"/>
                <w:sz w:val="18"/>
                <w:szCs w:val="18"/>
              </w:rPr>
              <w:t>6 591 230 976</w:t>
            </w:r>
          </w:p>
        </w:tc>
      </w:tr>
    </w:tbl>
    <w:p w:rsidR="00694CD8" w:rsidRPr="00D07591" w:rsidRDefault="00694CD8" w:rsidP="002D52ED">
      <w:pPr>
        <w:spacing w:line="240" w:lineRule="auto"/>
        <w:rPr>
          <w:lang w:eastAsia="en-US"/>
        </w:rPr>
      </w:pPr>
    </w:p>
    <w:p w:rsidR="00694CD8" w:rsidRPr="00D07591" w:rsidRDefault="00694CD8" w:rsidP="002D52ED">
      <w:pPr>
        <w:spacing w:line="240" w:lineRule="auto"/>
        <w:jc w:val="both"/>
        <w:rPr>
          <w:lang w:eastAsia="en-US"/>
        </w:rPr>
      </w:pPr>
      <w:r w:rsidRPr="00D07591">
        <w:rPr>
          <w:lang w:eastAsia="en-US"/>
        </w:rPr>
        <w:t xml:space="preserve">V současnosti by tito zaměstnanci, kteří pracovali alespoň měsíc a zároveň méně než 12 měsíců, za rok odvedli pojistné na zdravotní pojištění za předpokladu sazby 6.5 % přibližně 7,5 miliardy korun. V důsledku změny pojistného období se odvod pojistného sníží o přibližně 985 milionů korun (13 %).  </w:t>
      </w:r>
    </w:p>
    <w:p w:rsidR="00694CD8" w:rsidRPr="00D07591" w:rsidRDefault="00694CD8" w:rsidP="002D52ED">
      <w:pPr>
        <w:spacing w:after="120" w:line="240" w:lineRule="auto"/>
        <w:jc w:val="both"/>
      </w:pPr>
    </w:p>
    <w:p w:rsidR="00694CD8" w:rsidRPr="00D07591" w:rsidRDefault="00694CD8" w:rsidP="002D52ED">
      <w:pPr>
        <w:spacing w:after="120" w:line="240" w:lineRule="auto"/>
        <w:jc w:val="both"/>
        <w:rPr>
          <w:b/>
        </w:rPr>
      </w:pPr>
      <w:r w:rsidRPr="00D07591">
        <w:rPr>
          <w:b/>
        </w:rPr>
        <w:t>Zaměstnanci, kteří byli část roku osoby samostatně výdělečně činné</w:t>
      </w:r>
    </w:p>
    <w:p w:rsidR="00694CD8" w:rsidRPr="00D07591" w:rsidRDefault="00694CD8" w:rsidP="002D52ED">
      <w:pPr>
        <w:spacing w:after="120" w:line="240" w:lineRule="auto"/>
        <w:jc w:val="both"/>
      </w:pPr>
      <w:r w:rsidRPr="00D07591">
        <w:t>V České republice dle databáze SILC bylo přibližně 21 tisíc zaměstnanců, kteří byli část roku zaměstnanci a část osoby samostatně výdělečně činné. Změna pojistného období zaměstnanců se dotkne pouze těch, jejichž základ ze samostatné výdělečné činnosti byl pod současným minimálním základem zdravotního pojištění, ale dle návrhu upravený součet základů ze samostatné a závislé činnosti bude nad budoucím celkovým ročním minimálním základem.  V současnosti tito zaměstnanci totiž musí odvést minimální pojistné ze samostatné činnosti a pojistné odpovídající mzdě ze závislé činnosti. V budoucnosti tito zaměstnanci již musí překročit pouze minimální základ z celkového ročního příjmu (</w:t>
      </w:r>
      <w:r w:rsidRPr="00D07591">
        <w:rPr>
          <w:rFonts w:cs="Tahoma"/>
        </w:rPr>
        <w:t>skládající se ze základů pojistného ze závislé činnosti a ze samostatné činnosti</w:t>
      </w:r>
      <w:r w:rsidRPr="00D07591">
        <w:t>).</w:t>
      </w:r>
    </w:p>
    <w:p w:rsidR="00694CD8" w:rsidRPr="00D07591" w:rsidRDefault="00694CD8" w:rsidP="002D52ED">
      <w:pPr>
        <w:spacing w:after="120" w:line="240" w:lineRule="auto"/>
        <w:jc w:val="both"/>
      </w:pPr>
      <w:r w:rsidRPr="00D07591">
        <w:t>Pojistné na zdravotní pojištění v důsledku změny pojistného období u této skupiny zaměstnanců klesne přibližně o 73 milionů korun, jak ukazuje tabulka 1.4. Rozdělení výše změny pojistného u konkrétních jednotlivců závisí na výši jejich příjmu ze závislé činnosti a velikosti rozdílu mezi současným minimálním základem zdravotního pojištění ze samostatné činnosti a příjmů ze samostatné činnosti. Celkový pokles přibližně 73 milionů je řádově nižší než pokles pojistného u skupiny zaměstnanců, kteří byli část roku bez zdanitelných příjmů. To je způsobeno zejména nižším počtem zaměstnanců, kteří část roku byli samostatně výdělečně činní, než zaměstnanců, kteří část roku byli bez zdanitelných příjmů.</w:t>
      </w:r>
    </w:p>
    <w:p w:rsidR="00694CD8" w:rsidRPr="00D07591" w:rsidRDefault="00694CD8" w:rsidP="002D52ED">
      <w:pPr>
        <w:spacing w:after="120" w:line="240" w:lineRule="auto"/>
        <w:jc w:val="both"/>
      </w:pPr>
    </w:p>
    <w:p w:rsidR="00694CD8" w:rsidRPr="00D07591" w:rsidRDefault="00694CD8" w:rsidP="002D52ED">
      <w:pPr>
        <w:spacing w:after="120" w:line="240" w:lineRule="auto"/>
        <w:jc w:val="both"/>
      </w:pPr>
    </w:p>
    <w:p w:rsidR="00694CD8" w:rsidRPr="00D07591" w:rsidRDefault="00694CD8" w:rsidP="002D52ED">
      <w:pPr>
        <w:pStyle w:val="Caption"/>
        <w:keepNext/>
      </w:pPr>
      <w:r w:rsidRPr="00D07591">
        <w:t>Tabulka 1.4: Hodnoty pojistného na zdravotní pojištění placeného zaměstnanci, kteří část roku vykonávali samostatnou činnost</w:t>
      </w:r>
    </w:p>
    <w:tbl>
      <w:tblPr>
        <w:tblW w:w="4020" w:type="dxa"/>
        <w:tblInd w:w="55" w:type="dxa"/>
        <w:tblCellMar>
          <w:left w:w="70" w:type="dxa"/>
          <w:right w:w="70" w:type="dxa"/>
        </w:tblCellMar>
        <w:tblLook w:val="00A0"/>
      </w:tblPr>
      <w:tblGrid>
        <w:gridCol w:w="1340"/>
        <w:gridCol w:w="1340"/>
        <w:gridCol w:w="1340"/>
      </w:tblGrid>
      <w:tr w:rsidR="00694CD8" w:rsidRPr="00D9298C" w:rsidTr="00487B75">
        <w:trPr>
          <w:trHeight w:val="1215"/>
        </w:trPr>
        <w:tc>
          <w:tcPr>
            <w:tcW w:w="1340" w:type="dxa"/>
            <w:tcBorders>
              <w:top w:val="single" w:sz="12" w:space="0" w:color="auto"/>
              <w:left w:val="nil"/>
              <w:bottom w:val="nil"/>
              <w:right w:val="nil"/>
            </w:tcBorders>
            <w:vAlign w:val="center"/>
          </w:tcPr>
          <w:p w:rsidR="00694CD8" w:rsidRPr="00D07591" w:rsidRDefault="00694CD8" w:rsidP="002D52ED">
            <w:pPr>
              <w:spacing w:after="0" w:line="240" w:lineRule="auto"/>
              <w:jc w:val="center"/>
              <w:rPr>
                <w:color w:val="000000"/>
              </w:rPr>
            </w:pPr>
            <w:r w:rsidRPr="00D07591">
              <w:rPr>
                <w:color w:val="000000"/>
              </w:rPr>
              <w:t>Současné pojistné -měsíční základy</w:t>
            </w:r>
          </w:p>
        </w:tc>
        <w:tc>
          <w:tcPr>
            <w:tcW w:w="1340" w:type="dxa"/>
            <w:tcBorders>
              <w:top w:val="single" w:sz="12" w:space="0" w:color="auto"/>
              <w:left w:val="nil"/>
              <w:bottom w:val="nil"/>
              <w:right w:val="nil"/>
            </w:tcBorders>
            <w:vAlign w:val="center"/>
          </w:tcPr>
          <w:p w:rsidR="00694CD8" w:rsidRPr="00D07591" w:rsidRDefault="00694CD8" w:rsidP="002D52ED">
            <w:pPr>
              <w:spacing w:after="0" w:line="240" w:lineRule="auto"/>
              <w:jc w:val="center"/>
              <w:rPr>
                <w:b/>
                <w:bCs/>
                <w:color w:val="000000"/>
              </w:rPr>
            </w:pPr>
            <w:r w:rsidRPr="00D07591">
              <w:rPr>
                <w:b/>
                <w:bCs/>
                <w:color w:val="000000"/>
              </w:rPr>
              <w:t>změna</w:t>
            </w:r>
          </w:p>
        </w:tc>
        <w:tc>
          <w:tcPr>
            <w:tcW w:w="1340" w:type="dxa"/>
            <w:tcBorders>
              <w:top w:val="single" w:sz="12" w:space="0" w:color="auto"/>
              <w:left w:val="nil"/>
              <w:bottom w:val="nil"/>
              <w:right w:val="nil"/>
            </w:tcBorders>
            <w:vAlign w:val="center"/>
          </w:tcPr>
          <w:p w:rsidR="00694CD8" w:rsidRPr="00D07591" w:rsidRDefault="00694CD8" w:rsidP="002D52ED">
            <w:pPr>
              <w:spacing w:after="0" w:line="240" w:lineRule="auto"/>
              <w:jc w:val="center"/>
              <w:rPr>
                <w:color w:val="000000"/>
              </w:rPr>
            </w:pPr>
            <w:r w:rsidRPr="00D07591">
              <w:rPr>
                <w:color w:val="000000"/>
              </w:rPr>
              <w:t xml:space="preserve"> Budoucí pojistné - roční základ</w:t>
            </w:r>
          </w:p>
        </w:tc>
      </w:tr>
      <w:tr w:rsidR="00694CD8" w:rsidRPr="00D9298C" w:rsidTr="00487B75">
        <w:trPr>
          <w:trHeight w:val="315"/>
        </w:trPr>
        <w:tc>
          <w:tcPr>
            <w:tcW w:w="134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390 203 104</w:t>
            </w:r>
          </w:p>
        </w:tc>
        <w:tc>
          <w:tcPr>
            <w:tcW w:w="134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b/>
                <w:color w:val="000000"/>
              </w:rPr>
            </w:pPr>
            <w:r w:rsidRPr="00D07591">
              <w:rPr>
                <w:b/>
                <w:color w:val="000000"/>
              </w:rPr>
              <w:t>-72 567 480</w:t>
            </w:r>
          </w:p>
        </w:tc>
        <w:tc>
          <w:tcPr>
            <w:tcW w:w="134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317 635 616</w:t>
            </w:r>
          </w:p>
        </w:tc>
      </w:tr>
    </w:tbl>
    <w:p w:rsidR="00694CD8" w:rsidRPr="00D07591" w:rsidRDefault="00694CD8" w:rsidP="002D52ED">
      <w:pPr>
        <w:spacing w:after="120" w:line="240" w:lineRule="auto"/>
        <w:jc w:val="both"/>
      </w:pPr>
    </w:p>
    <w:p w:rsidR="00694CD8" w:rsidRPr="00D07591" w:rsidRDefault="00694CD8" w:rsidP="002D52ED">
      <w:pPr>
        <w:spacing w:after="120" w:line="240" w:lineRule="auto"/>
        <w:jc w:val="both"/>
      </w:pPr>
      <w:r w:rsidRPr="00D07591">
        <w:rPr>
          <w:b/>
        </w:rPr>
        <w:t>Pokles pojistného v důsledku změny pojistného období na roční však zcela jistě bude kompenzován navýšením minimálního základu zdravotního pojištění u osob, které jsou celý rok bez zdanitelných příjmů a nejsou vyňaty z povinnosti dodržovat minimální základ pojistného.</w:t>
      </w:r>
      <w:r w:rsidRPr="00D07591">
        <w:t xml:space="preserve"> Jde o zejména o nezaměstnané bez nároku na podporu v nezaměstnanosti nebo osoby celoročně bez zdanitelných příjmů, které nejsou státními pojištěnci. Tyto osoby za rok zaplatí dle návrhu zákona o 7 008 korun více a odpovídající zvýšení pojistného několikanásobně převýší jeho pokles v důsledku změny pojistného období na roční.</w:t>
      </w:r>
    </w:p>
    <w:p w:rsidR="00694CD8" w:rsidRPr="00D07591" w:rsidRDefault="00694CD8" w:rsidP="002D52ED">
      <w:pPr>
        <w:spacing w:after="120" w:line="240" w:lineRule="auto"/>
        <w:jc w:val="both"/>
      </w:pPr>
      <w:r w:rsidRPr="00D07591">
        <w:t>Poznámky a doporučení:</w:t>
      </w:r>
    </w:p>
    <w:p w:rsidR="00694CD8" w:rsidRPr="00D07591" w:rsidRDefault="00694CD8" w:rsidP="002D52ED">
      <w:pPr>
        <w:pStyle w:val="ListParagraph"/>
        <w:numPr>
          <w:ilvl w:val="0"/>
          <w:numId w:val="10"/>
        </w:numPr>
        <w:spacing w:after="120" w:line="240" w:lineRule="auto"/>
        <w:jc w:val="both"/>
      </w:pPr>
      <w:r w:rsidRPr="00D07591">
        <w:t xml:space="preserve">Stanovení minimálního základu zdravotního pojištění osob samostatně výdělečně činných na 3,2 násobek minimální mzdy znamená, že velká část samostatně výdělečně činných osob bude mít příjmy pod tímto minimem. Tyto osoby pak čelí vysoké efektivní sazbě zdravotního pojištění. </w:t>
      </w:r>
      <w:r w:rsidRPr="00D07591">
        <w:rPr>
          <w:b/>
        </w:rPr>
        <w:t>Například osoby samostatně výdělečně činné s příjmem na úrovni minimální mzdy odvedou pojistné na zdravotní pojištění rovné 20,8 % příjmu,</w:t>
      </w:r>
      <w:r w:rsidRPr="00D07591">
        <w:t xml:space="preserve"> zatímco stejní zaměstnanci odvádí spolu se zaměstnavatelem pouze 13,5 % příjmu. S rostoucím příjmem se tento poměr sazby pojistného zaměstnanců a osob samostatně výdělečně činných postupně sbližuje, až se zcela obrátí (13,5 % u zaměstnanců a 6,5 % u samostatně výdělečně činných osob). Z teoretického pohledu by dle našeho názoru podpora jedné skupiny pracujících měla být konzistentní. Není tedy ideální situace, kdy v nízko příjmových skupinách samostatně výdělečně činné osoby čelí vyšší efektivní sazbě pojistného než zaměstnanci, ve středně příjmových skupinách je efektivní sazba pro obě skupiny podobná a ve vysoko příjmových skupinách naopak čelí samostatně výdělečně činné osoby nižší efektivní sazbě než zaměstnanci. Tato situace minimálně pro běžné občany znepřehledňuje, jakou část příjmů ve skutečnosti odvádí. Rozumíme, že z praktického pohledu vstupuje do hry fakt, že příjmy samostatně výdělečně činných osob pro výpočty pojistného mohou být často nižší, než jejich reálné příjmy</w:t>
      </w:r>
      <w:r w:rsidRPr="00D07591">
        <w:rPr>
          <w:rStyle w:val="FootnoteReference"/>
        </w:rPr>
        <w:footnoteReference w:id="4"/>
      </w:r>
      <w:r w:rsidRPr="00D07591">
        <w:t xml:space="preserve"> zejména v důsledku výdajových paušálů. </w:t>
      </w:r>
    </w:p>
    <w:p w:rsidR="00694CD8" w:rsidRPr="00D07591" w:rsidRDefault="00694CD8" w:rsidP="002D52ED">
      <w:pPr>
        <w:pStyle w:val="ListParagraph"/>
        <w:numPr>
          <w:ilvl w:val="0"/>
          <w:numId w:val="10"/>
        </w:numPr>
        <w:spacing w:after="120" w:line="240" w:lineRule="auto"/>
        <w:jc w:val="both"/>
      </w:pPr>
      <w:r w:rsidRPr="00D07591">
        <w:t>Pro srozumitelnost zákona by dle našeho názoru bylo vhodné, pokud by se jak sociální, tak i zdravotní pojištění počítalo technicky shodným postupem. Tím rozumíme, že u obou pojištění by se nejdříve vypočítali výchozí dílčí základy, následně upravené dílčí základy. Poté by se určil základ pojistného jako součet upravených dílčích základů. Ten by se porovnal s minimálním a maximálním základem. Nakonec by se vypočítalo pojistné. Tento postup vyžaduje změnu výpočtu minimálního základu u důchodového pojištění. Navrhuje jej počítat následovně:</w:t>
      </w:r>
    </w:p>
    <w:p w:rsidR="00694CD8" w:rsidRPr="00F91A46" w:rsidRDefault="00694CD8" w:rsidP="00C54841">
      <w:pPr>
        <w:spacing w:after="120" w:line="240" w:lineRule="auto"/>
        <w:ind w:left="720"/>
        <w:jc w:val="both"/>
        <w:rPr>
          <w:i/>
          <w:lang w:val="en-GB"/>
        </w:rPr>
      </w:pPr>
      <w:r w:rsidRPr="00210A3F">
        <w:pict>
          <v:shape id="_x0000_i1026" type="#_x0000_t75" style="width:843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6765C&quot;/&gt;&lt;wsp:rsid wsp:val=&quot;00004534&quot;/&gt;&lt;wsp:rsid wsp:val=&quot;000060E5&quot;/&gt;&lt;wsp:rsid wsp:val=&quot;00023AF1&quot;/&gt;&lt;wsp:rsid wsp:val=&quot;00023F8A&quot;/&gt;&lt;wsp:rsid wsp:val=&quot;00025429&quot;/&gt;&lt;wsp:rsid wsp:val=&quot;000356CB&quot;/&gt;&lt;wsp:rsid wsp:val=&quot;000474A1&quot;/&gt;&lt;wsp:rsid wsp:val=&quot;00050CA1&quot;/&gt;&lt;wsp:rsid wsp:val=&quot;00054BF0&quot;/&gt;&lt;wsp:rsid wsp:val=&quot;00066CD9&quot;/&gt;&lt;wsp:rsid wsp:val=&quot;000719C4&quot;/&gt;&lt;wsp:rsid wsp:val=&quot;000726B3&quot;/&gt;&lt;wsp:rsid wsp:val=&quot;000740FC&quot;/&gt;&lt;wsp:rsid wsp:val=&quot;00075890&quot;/&gt;&lt;wsp:rsid wsp:val=&quot;00080E1A&quot;/&gt;&lt;wsp:rsid wsp:val=&quot;00080F3A&quot;/&gt;&lt;wsp:rsid wsp:val=&quot;00083D73&quot;/&gt;&lt;wsp:rsid wsp:val=&quot;0008510B&quot;/&gt;&lt;wsp:rsid wsp:val=&quot;00091BCA&quot;/&gt;&lt;wsp:rsid wsp:val=&quot;00093F45&quot;/&gt;&lt;wsp:rsid wsp:val=&quot;00097F84&quot;/&gt;&lt;wsp:rsid wsp:val=&quot;000A54BF&quot;/&gt;&lt;wsp:rsid wsp:val=&quot;000A5ACB&quot;/&gt;&lt;wsp:rsid wsp:val=&quot;000A5E52&quot;/&gt;&lt;wsp:rsid wsp:val=&quot;000A62D4&quot;/&gt;&lt;wsp:rsid wsp:val=&quot;000C0457&quot;/&gt;&lt;wsp:rsid wsp:val=&quot;000C23DD&quot;/&gt;&lt;wsp:rsid wsp:val=&quot;000C3CBB&quot;/&gt;&lt;wsp:rsid wsp:val=&quot;000C4C79&quot;/&gt;&lt;wsp:rsid wsp:val=&quot;000C5E6A&quot;/&gt;&lt;wsp:rsid wsp:val=&quot;000C6315&quot;/&gt;&lt;wsp:rsid wsp:val=&quot;000D31C7&quot;/&gt;&lt;wsp:rsid wsp:val=&quot;000E3C4F&quot;/&gt;&lt;wsp:rsid wsp:val=&quot;000F01AA&quot;/&gt;&lt;wsp:rsid wsp:val=&quot;000F3EC6&quot;/&gt;&lt;wsp:rsid wsp:val=&quot;00103B0E&quot;/&gt;&lt;wsp:rsid wsp:val=&quot;00105832&quot;/&gt;&lt;wsp:rsid wsp:val=&quot;00117452&quot;/&gt;&lt;wsp:rsid wsp:val=&quot;00120CCA&quot;/&gt;&lt;wsp:rsid wsp:val=&quot;00122854&quot;/&gt;&lt;wsp:rsid wsp:val=&quot;001265E1&quot;/&gt;&lt;wsp:rsid wsp:val=&quot;00131946&quot;/&gt;&lt;wsp:rsid wsp:val=&quot;00133FA8&quot;/&gt;&lt;wsp:rsid wsp:val=&quot;00140B06&quot;/&gt;&lt;wsp:rsid wsp:val=&quot;00141234&quot;/&gt;&lt;wsp:rsid wsp:val=&quot;00142081&quot;/&gt;&lt;wsp:rsid wsp:val=&quot;00142DB9&quot;/&gt;&lt;wsp:rsid wsp:val=&quot;00144314&quot;/&gt;&lt;wsp:rsid wsp:val=&quot;00150F72&quot;/&gt;&lt;wsp:rsid wsp:val=&quot;001517BE&quot;/&gt;&lt;wsp:rsid wsp:val=&quot;001532A6&quot;/&gt;&lt;wsp:rsid wsp:val=&quot;0015390C&quot;/&gt;&lt;wsp:rsid wsp:val=&quot;001563B6&quot;/&gt;&lt;wsp:rsid wsp:val=&quot;00156B08&quot;/&gt;&lt;wsp:rsid wsp:val=&quot;00156D67&quot;/&gt;&lt;wsp:rsid wsp:val=&quot;00162C4F&quot;/&gt;&lt;wsp:rsid wsp:val=&quot;00163AC6&quot;/&gt;&lt;wsp:rsid wsp:val=&quot;0016765C&quot;/&gt;&lt;wsp:rsid wsp:val=&quot;00172F48&quot;/&gt;&lt;wsp:rsid wsp:val=&quot;00173F9F&quot;/&gt;&lt;wsp:rsid wsp:val=&quot;001835DC&quot;/&gt;&lt;wsp:rsid wsp:val=&quot;00186E51&quot;/&gt;&lt;wsp:rsid wsp:val=&quot;001905AB&quot;/&gt;&lt;wsp:rsid wsp:val=&quot;00190F87&quot;/&gt;&lt;wsp:rsid wsp:val=&quot;0019204E&quot;/&gt;&lt;wsp:rsid wsp:val=&quot;0019366C&quot;/&gt;&lt;wsp:rsid wsp:val=&quot;001A0F13&quot;/&gt;&lt;wsp:rsid wsp:val=&quot;001A11C3&quot;/&gt;&lt;wsp:rsid wsp:val=&quot;001B07DA&quot;/&gt;&lt;wsp:rsid wsp:val=&quot;001B6882&quot;/&gt;&lt;wsp:rsid wsp:val=&quot;001C021C&quot;/&gt;&lt;wsp:rsid wsp:val=&quot;001C7AE7&quot;/&gt;&lt;wsp:rsid wsp:val=&quot;001D64C9&quot;/&gt;&lt;wsp:rsid wsp:val=&quot;001E35AB&quot;/&gt;&lt;wsp:rsid wsp:val=&quot;00202673&quot;/&gt;&lt;wsp:rsid wsp:val=&quot;002035C3&quot;/&gt;&lt;wsp:rsid wsp:val=&quot;00210F9E&quot;/&gt;&lt;wsp:rsid wsp:val=&quot;0021220B&quot;/&gt;&lt;wsp:rsid wsp:val=&quot;0021508A&quot;/&gt;&lt;wsp:rsid wsp:val=&quot;002158C2&quot;/&gt;&lt;wsp:rsid wsp:val=&quot;0023071F&quot;/&gt;&lt;wsp:rsid wsp:val=&quot;00231402&quot;/&gt;&lt;wsp:rsid wsp:val=&quot;002314FE&quot;/&gt;&lt;wsp:rsid wsp:val=&quot;0023171B&quot;/&gt;&lt;wsp:rsid wsp:val=&quot;00232145&quot;/&gt;&lt;wsp:rsid wsp:val=&quot;002353BC&quot;/&gt;&lt;wsp:rsid wsp:val=&quot;00240506&quot;/&gt;&lt;wsp:rsid wsp:val=&quot;002426AF&quot;/&gt;&lt;wsp:rsid wsp:val=&quot;00253057&quot;/&gt;&lt;wsp:rsid wsp:val=&quot;00256EC7&quot;/&gt;&lt;wsp:rsid wsp:val=&quot;002603BA&quot;/&gt;&lt;wsp:rsid wsp:val=&quot;00267762&quot;/&gt;&lt;wsp:rsid wsp:val=&quot;002678E0&quot;/&gt;&lt;wsp:rsid wsp:val=&quot;00275CC0&quot;/&gt;&lt;wsp:rsid wsp:val=&quot;0028547A&quot;/&gt;&lt;wsp:rsid wsp:val=&quot;0028701D&quot;/&gt;&lt;wsp:rsid wsp:val=&quot;00292A75&quot;/&gt;&lt;wsp:rsid wsp:val=&quot;002A5063&quot;/&gt;&lt;wsp:rsid wsp:val=&quot;002A5BB1&quot;/&gt;&lt;wsp:rsid wsp:val=&quot;002A65EA&quot;/&gt;&lt;wsp:rsid wsp:val=&quot;002B4135&quot;/&gt;&lt;wsp:rsid wsp:val=&quot;002C34D4&quot;/&gt;&lt;wsp:rsid wsp:val=&quot;002C3919&quot;/&gt;&lt;wsp:rsid wsp:val=&quot;002C4768&quot;/&gt;&lt;wsp:rsid wsp:val=&quot;002C48EE&quot;/&gt;&lt;wsp:rsid wsp:val=&quot;002C4ED4&quot;/&gt;&lt;wsp:rsid wsp:val=&quot;002D0EF7&quot;/&gt;&lt;wsp:rsid wsp:val=&quot;002D4A30&quot;/&gt;&lt;wsp:rsid wsp:val=&quot;002D52ED&quot;/&gt;&lt;wsp:rsid wsp:val=&quot;002E1A37&quot;/&gt;&lt;wsp:rsid wsp:val=&quot;002F17E5&quot;/&gt;&lt;wsp:rsid wsp:val=&quot;002F27C7&quot;/&gt;&lt;wsp:rsid wsp:val=&quot;002F56FB&quot;/&gt;&lt;wsp:rsid wsp:val=&quot;002F688C&quot;/&gt;&lt;wsp:rsid wsp:val=&quot;00302837&quot;/&gt;&lt;wsp:rsid wsp:val=&quot;0030510E&quot;/&gt;&lt;wsp:rsid wsp:val=&quot;003129BA&quot;/&gt;&lt;wsp:rsid wsp:val=&quot;003136C8&quot;/&gt;&lt;wsp:rsid wsp:val=&quot;0032738E&quot;/&gt;&lt;wsp:rsid wsp:val=&quot;003275F7&quot;/&gt;&lt;wsp:rsid wsp:val=&quot;00332371&quot;/&gt;&lt;wsp:rsid wsp:val=&quot;003324F4&quot;/&gt;&lt;wsp:rsid wsp:val=&quot;003342C1&quot;/&gt;&lt;wsp:rsid wsp:val=&quot;00334C63&quot;/&gt;&lt;wsp:rsid wsp:val=&quot;00344993&quot;/&gt;&lt;wsp:rsid wsp:val=&quot;00345A78&quot;/&gt;&lt;wsp:rsid wsp:val=&quot;00347D98&quot;/&gt;&lt;wsp:rsid wsp:val=&quot;00361270&quot;/&gt;&lt;wsp:rsid wsp:val=&quot;00366BD5&quot;/&gt;&lt;wsp:rsid wsp:val=&quot;00376D4E&quot;/&gt;&lt;wsp:rsid wsp:val=&quot;00380304&quot;/&gt;&lt;wsp:rsid wsp:val=&quot;003840F0&quot;/&gt;&lt;wsp:rsid wsp:val=&quot;00386A64&quot;/&gt;&lt;wsp:rsid wsp:val=&quot;0038700F&quot;/&gt;&lt;wsp:rsid wsp:val=&quot;003873B1&quot;/&gt;&lt;wsp:rsid wsp:val=&quot;003950F4&quot;/&gt;&lt;wsp:rsid wsp:val=&quot;0039612A&quot;/&gt;&lt;wsp:rsid wsp:val=&quot;00397341&quot;/&gt;&lt;wsp:rsid wsp:val=&quot;003A2340&quot;/&gt;&lt;wsp:rsid wsp:val=&quot;003A39FB&quot;/&gt;&lt;wsp:rsid wsp:val=&quot;003A7C2A&quot;/&gt;&lt;wsp:rsid wsp:val=&quot;003B0463&quot;/&gt;&lt;wsp:rsid wsp:val=&quot;003B21DE&quot;/&gt;&lt;wsp:rsid wsp:val=&quot;003B6CD0&quot;/&gt;&lt;wsp:rsid wsp:val=&quot;003C0950&quot;/&gt;&lt;wsp:rsid wsp:val=&quot;003C113F&quot;/&gt;&lt;wsp:rsid wsp:val=&quot;003C3170&quot;/&gt;&lt;wsp:rsid wsp:val=&quot;003C47A9&quot;/&gt;&lt;wsp:rsid wsp:val=&quot;003C5AAD&quot;/&gt;&lt;wsp:rsid wsp:val=&quot;003D7CC1&quot;/&gt;&lt;wsp:rsid wsp:val=&quot;003E1934&quot;/&gt;&lt;wsp:rsid wsp:val=&quot;003E1A7A&quot;/&gt;&lt;wsp:rsid wsp:val=&quot;003E2A91&quot;/&gt;&lt;wsp:rsid wsp:val=&quot;003E334B&quot;/&gt;&lt;wsp:rsid wsp:val=&quot;003F11C6&quot;/&gt;&lt;wsp:rsid wsp:val=&quot;003F1C83&quot;/&gt;&lt;wsp:rsid wsp:val=&quot;003F7EC4&quot;/&gt;&lt;wsp:rsid wsp:val=&quot;00400410&quot;/&gt;&lt;wsp:rsid wsp:val=&quot;00403280&quot;/&gt;&lt;wsp:rsid wsp:val=&quot;004059AB&quot;/&gt;&lt;wsp:rsid wsp:val=&quot;00407BC2&quot;/&gt;&lt;wsp:rsid wsp:val=&quot;00411374&quot;/&gt;&lt;wsp:rsid wsp:val=&quot;004171CE&quot;/&gt;&lt;wsp:rsid wsp:val=&quot;004177A3&quot;/&gt;&lt;wsp:rsid wsp:val=&quot;0044343B&quot;/&gt;&lt;wsp:rsid wsp:val=&quot;00447A97&quot;/&gt;&lt;wsp:rsid wsp:val=&quot;0045175F&quot;/&gt;&lt;wsp:rsid wsp:val=&quot;004558D3&quot;/&gt;&lt;wsp:rsid wsp:val=&quot;00456475&quot;/&gt;&lt;wsp:rsid wsp:val=&quot;004564B2&quot;/&gt;&lt;wsp:rsid wsp:val=&quot;00464570&quot;/&gt;&lt;wsp:rsid wsp:val=&quot;00466E83&quot;/&gt;&lt;wsp:rsid wsp:val=&quot;0047507D&quot;/&gt;&lt;wsp:rsid wsp:val=&quot;0047586C&quot;/&gt;&lt;wsp:rsid wsp:val=&quot;00481E98&quot;/&gt;&lt;wsp:rsid wsp:val=&quot;00481EF3&quot;/&gt;&lt;wsp:rsid wsp:val=&quot;00482143&quot;/&gt;&lt;wsp:rsid wsp:val=&quot;00487B75&quot;/&gt;&lt;wsp:rsid wsp:val=&quot;0049081E&quot;/&gt;&lt;wsp:rsid wsp:val=&quot;0049157E&quot;/&gt;&lt;wsp:rsid wsp:val=&quot;004A590B&quot;/&gt;&lt;wsp:rsid wsp:val=&quot;004B6CBE&quot;/&gt;&lt;wsp:rsid wsp:val=&quot;004C1B2D&quot;/&gt;&lt;wsp:rsid wsp:val=&quot;004C447D&quot;/&gt;&lt;wsp:rsid wsp:val=&quot;004C5B88&quot;/&gt;&lt;wsp:rsid wsp:val=&quot;004D51C2&quot;/&gt;&lt;wsp:rsid wsp:val=&quot;004D6212&quot;/&gt;&lt;wsp:rsid wsp:val=&quot;004D7E43&quot;/&gt;&lt;wsp:rsid wsp:val=&quot;004E152C&quot;/&gt;&lt;wsp:rsid wsp:val=&quot;004E70D6&quot;/&gt;&lt;wsp:rsid wsp:val=&quot;004E77F8&quot;/&gt;&lt;wsp:rsid wsp:val=&quot;004F2A81&quot;/&gt;&lt;wsp:rsid wsp:val=&quot;004F5F2A&quot;/&gt;&lt;wsp:rsid wsp:val=&quot;004F6DAC&quot;/&gt;&lt;wsp:rsid wsp:val=&quot;00505C76&quot;/&gt;&lt;wsp:rsid wsp:val=&quot;0050637F&quot;/&gt;&lt;wsp:rsid wsp:val=&quot;005140B2&quot;/&gt;&lt;wsp:rsid wsp:val=&quot;00514C65&quot;/&gt;&lt;wsp:rsid wsp:val=&quot;00516B61&quot;/&gt;&lt;wsp:rsid wsp:val=&quot;005222E4&quot;/&gt;&lt;wsp:rsid wsp:val=&quot;00523270&quot;/&gt;&lt;wsp:rsid wsp:val=&quot;00527374&quot;/&gt;&lt;wsp:rsid wsp:val=&quot;00530AB9&quot;/&gt;&lt;wsp:rsid wsp:val=&quot;00536F71&quot;/&gt;&lt;wsp:rsid wsp:val=&quot;005439C9&quot;/&gt;&lt;wsp:rsid wsp:val=&quot;00543E9B&quot;/&gt;&lt;wsp:rsid wsp:val=&quot;0055190D&quot;/&gt;&lt;wsp:rsid wsp:val=&quot;00551FCD&quot;/&gt;&lt;wsp:rsid wsp:val=&quot;00555C42&quot;/&gt;&lt;wsp:rsid wsp:val=&quot;00555FE1&quot;/&gt;&lt;wsp:rsid wsp:val=&quot;00557648&quot;/&gt;&lt;wsp:rsid wsp:val=&quot;00561381&quot;/&gt;&lt;wsp:rsid wsp:val=&quot;00563361&quot;/&gt;&lt;wsp:rsid wsp:val=&quot;00564A02&quot;/&gt;&lt;wsp:rsid wsp:val=&quot;005733DA&quot;/&gt;&lt;wsp:rsid wsp:val=&quot;00593630&quot;/&gt;&lt;wsp:rsid wsp:val=&quot;00594108&quot;/&gt;&lt;wsp:rsid wsp:val=&quot;00594378&quot;/&gt;&lt;wsp:rsid wsp:val=&quot;005B6550&quot;/&gt;&lt;wsp:rsid wsp:val=&quot;005C2239&quot;/&gt;&lt;wsp:rsid wsp:val=&quot;005C287F&quot;/&gt;&lt;wsp:rsid wsp:val=&quot;005D3C05&quot;/&gt;&lt;wsp:rsid wsp:val=&quot;005D3E79&quot;/&gt;&lt;wsp:rsid wsp:val=&quot;005D42BB&quot;/&gt;&lt;wsp:rsid wsp:val=&quot;005E0CF3&quot;/&gt;&lt;wsp:rsid wsp:val=&quot;005E332C&quot;/&gt;&lt;wsp:rsid wsp:val=&quot;005F0E8E&quot;/&gt;&lt;wsp:rsid wsp:val=&quot;005F2A5D&quot;/&gt;&lt;wsp:rsid wsp:val=&quot;00604ACD&quot;/&gt;&lt;wsp:rsid wsp:val=&quot;006062C8&quot;/&gt;&lt;wsp:rsid wsp:val=&quot;006145DB&quot;/&gt;&lt;wsp:rsid wsp:val=&quot;00617842&quot;/&gt;&lt;wsp:rsid wsp:val=&quot;0062697E&quot;/&gt;&lt;wsp:rsid wsp:val=&quot;00627B93&quot;/&gt;&lt;wsp:rsid wsp:val=&quot;0063289A&quot;/&gt;&lt;wsp:rsid wsp:val=&quot;0063513F&quot;/&gt;&lt;wsp:rsid wsp:val=&quot;006360E7&quot;/&gt;&lt;wsp:rsid wsp:val=&quot;00642333&quot;/&gt;&lt;wsp:rsid wsp:val=&quot;0065096F&quot;/&gt;&lt;wsp:rsid wsp:val=&quot;006555F2&quot;/&gt;&lt;wsp:rsid wsp:val=&quot;00657521&quot;/&gt;&lt;wsp:rsid wsp:val=&quot;00657B36&quot;/&gt;&lt;wsp:rsid wsp:val=&quot;00660F67&quot;/&gt;&lt;wsp:rsid wsp:val=&quot;00663F57&quot;/&gt;&lt;wsp:rsid wsp:val=&quot;006776A1&quot;/&gt;&lt;wsp:rsid wsp:val=&quot;00684F04&quot;/&gt;&lt;wsp:rsid wsp:val=&quot;00695CE1&quot;/&gt;&lt;wsp:rsid wsp:val=&quot;00697DA9&quot;/&gt;&lt;wsp:rsid wsp:val=&quot;006B0659&quot;/&gt;&lt;wsp:rsid wsp:val=&quot;006B296C&quot;/&gt;&lt;wsp:rsid wsp:val=&quot;006B422F&quot;/&gt;&lt;wsp:rsid wsp:val=&quot;006B4D09&quot;/&gt;&lt;wsp:rsid wsp:val=&quot;006B7319&quot;/&gt;&lt;wsp:rsid wsp:val=&quot;006B7E7F&quot;/&gt;&lt;wsp:rsid wsp:val=&quot;006C08C7&quot;/&gt;&lt;wsp:rsid wsp:val=&quot;006C2359&quot;/&gt;&lt;wsp:rsid wsp:val=&quot;006D11BC&quot;/&gt;&lt;wsp:rsid wsp:val=&quot;006D2668&quot;/&gt;&lt;wsp:rsid wsp:val=&quot;006E48A9&quot;/&gt;&lt;wsp:rsid wsp:val=&quot;006F2A15&quot;/&gt;&lt;wsp:rsid wsp:val=&quot;006F3A12&quot;/&gt;&lt;wsp:rsid wsp:val=&quot;006F4656&quot;/&gt;&lt;wsp:rsid wsp:val=&quot;00701460&quot;/&gt;&lt;wsp:rsid wsp:val=&quot;00705AF9&quot;/&gt;&lt;wsp:rsid wsp:val=&quot;00711AFD&quot;/&gt;&lt;wsp:rsid wsp:val=&quot;007168C6&quot;/&gt;&lt;wsp:rsid wsp:val=&quot;00724029&quot;/&gt;&lt;wsp:rsid wsp:val=&quot;0072496B&quot;/&gt;&lt;wsp:rsid wsp:val=&quot;007263D3&quot;/&gt;&lt;wsp:rsid wsp:val=&quot;00727880&quot;/&gt;&lt;wsp:rsid wsp:val=&quot;00741719&quot;/&gt;&lt;wsp:rsid wsp:val=&quot;0076129B&quot;/&gt;&lt;wsp:rsid wsp:val=&quot;007633C7&quot;/&gt;&lt;wsp:rsid wsp:val=&quot;0076369E&quot;/&gt;&lt;wsp:rsid wsp:val=&quot;007639CC&quot;/&gt;&lt;wsp:rsid wsp:val=&quot;00764C79&quot;/&gt;&lt;wsp:rsid wsp:val=&quot;00766BF7&quot;/&gt;&lt;wsp:rsid wsp:val=&quot;0076711A&quot;/&gt;&lt;wsp:rsid wsp:val=&quot;00773078&quot;/&gt;&lt;wsp:rsid wsp:val=&quot;00773737&quot;/&gt;&lt;wsp:rsid wsp:val=&quot;007834FA&quot;/&gt;&lt;wsp:rsid wsp:val=&quot;00786570&quot;/&gt;&lt;wsp:rsid wsp:val=&quot;007869F9&quot;/&gt;&lt;wsp:rsid wsp:val=&quot;007906C3&quot;/&gt;&lt;wsp:rsid wsp:val=&quot;007913A4&quot;/&gt;&lt;wsp:rsid wsp:val=&quot;00792D6E&quot;/&gt;&lt;wsp:rsid wsp:val=&quot;00793A59&quot;/&gt;&lt;wsp:rsid wsp:val=&quot;00794190&quot;/&gt;&lt;wsp:rsid wsp:val=&quot;007950B2&quot;/&gt;&lt;wsp:rsid wsp:val=&quot;007968F6&quot;/&gt;&lt;wsp:rsid wsp:val=&quot;007A0ED7&quot;/&gt;&lt;wsp:rsid wsp:val=&quot;007A48E1&quot;/&gt;&lt;wsp:rsid wsp:val=&quot;007B1BE2&quot;/&gt;&lt;wsp:rsid wsp:val=&quot;007B4F78&quot;/&gt;&lt;wsp:rsid wsp:val=&quot;007B56F3&quot;/&gt;&lt;wsp:rsid wsp:val=&quot;007B7A95&quot;/&gt;&lt;wsp:rsid wsp:val=&quot;007C1D3A&quot;/&gt;&lt;wsp:rsid wsp:val=&quot;007D39F4&quot;/&gt;&lt;wsp:rsid wsp:val=&quot;007D49C1&quot;/&gt;&lt;wsp:rsid wsp:val=&quot;007D5329&quot;/&gt;&lt;wsp:rsid wsp:val=&quot;007D607A&quot;/&gt;&lt;wsp:rsid wsp:val=&quot;007D7BD8&quot;/&gt;&lt;wsp:rsid wsp:val=&quot;007E2D7D&quot;/&gt;&lt;wsp:rsid wsp:val=&quot;007F0A85&quot;/&gt;&lt;wsp:rsid wsp:val=&quot;007F39B4&quot;/&gt;&lt;wsp:rsid wsp:val=&quot;007F3A02&quot;/&gt;&lt;wsp:rsid wsp:val=&quot;007F4E32&quot;/&gt;&lt;wsp:rsid wsp:val=&quot;00804447&quot;/&gt;&lt;wsp:rsid wsp:val=&quot;00804C45&quot;/&gt;&lt;wsp:rsid wsp:val=&quot;008227A2&quot;/&gt;&lt;wsp:rsid wsp:val=&quot;00823F42&quot;/&gt;&lt;wsp:rsid wsp:val=&quot;00823FD6&quot;/&gt;&lt;wsp:rsid wsp:val=&quot;008265B6&quot;/&gt;&lt;wsp:rsid wsp:val=&quot;00831EE4&quot;/&gt;&lt;wsp:rsid wsp:val=&quot;008459B7&quot;/&gt;&lt;wsp:rsid wsp:val=&quot;008526C7&quot;/&gt;&lt;wsp:rsid wsp:val=&quot;008578BF&quot;/&gt;&lt;wsp:rsid wsp:val=&quot;008605CC&quot;/&gt;&lt;wsp:rsid wsp:val=&quot;00862E4D&quot;/&gt;&lt;wsp:rsid wsp:val=&quot;00866D30&quot;/&gt;&lt;wsp:rsid wsp:val=&quot;00870A8E&quot;/&gt;&lt;wsp:rsid wsp:val=&quot;0087719F&quot;/&gt;&lt;wsp:rsid wsp:val=&quot;00884A11&quot;/&gt;&lt;wsp:rsid wsp:val=&quot;00885936&quot;/&gt;&lt;wsp:rsid wsp:val=&quot;00887CFA&quot;/&gt;&lt;wsp:rsid wsp:val=&quot;0089348D&quot;/&gt;&lt;wsp:rsid wsp:val=&quot;0089538A&quot;/&gt;&lt;wsp:rsid wsp:val=&quot;00895A85&quot;/&gt;&lt;wsp:rsid wsp:val=&quot;0089784F&quot;/&gt;&lt;wsp:rsid wsp:val=&quot;008A161A&quot;/&gt;&lt;wsp:rsid wsp:val=&quot;008C0206&quot;/&gt;&lt;wsp:rsid wsp:val=&quot;008C0DA8&quot;/&gt;&lt;wsp:rsid wsp:val=&quot;008C1206&quot;/&gt;&lt;wsp:rsid wsp:val=&quot;008C15E4&quot;/&gt;&lt;wsp:rsid wsp:val=&quot;008C701C&quot;/&gt;&lt;wsp:rsid wsp:val=&quot;008D12A9&quot;/&gt;&lt;wsp:rsid wsp:val=&quot;008D314C&quot;/&gt;&lt;wsp:rsid wsp:val=&quot;008E363B&quot;/&gt;&lt;wsp:rsid wsp:val=&quot;008E6937&quot;/&gt;&lt;wsp:rsid wsp:val=&quot;00900483&quot;/&gt;&lt;wsp:rsid wsp:val=&quot;009142FC&quot;/&gt;&lt;wsp:rsid wsp:val=&quot;00915A36&quot;/&gt;&lt;wsp:rsid wsp:val=&quot;0091637E&quot;/&gt;&lt;wsp:rsid wsp:val=&quot;00916E94&quot;/&gt;&lt;wsp:rsid wsp:val=&quot;009210BC&quot;/&gt;&lt;wsp:rsid wsp:val=&quot;00921137&quot;/&gt;&lt;wsp:rsid wsp:val=&quot;009236C9&quot;/&gt;&lt;wsp:rsid wsp:val=&quot;00931C9C&quot;/&gt;&lt;wsp:rsid wsp:val=&quot;00931EC9&quot;/&gt;&lt;wsp:rsid wsp:val=&quot;009421C5&quot;/&gt;&lt;wsp:rsid wsp:val=&quot;0094245D&quot;/&gt;&lt;wsp:rsid wsp:val=&quot;009428AB&quot;/&gt;&lt;wsp:rsid wsp:val=&quot;00953CD2&quot;/&gt;&lt;wsp:rsid wsp:val=&quot;00954B3E&quot;/&gt;&lt;wsp:rsid wsp:val=&quot;00955308&quot;/&gt;&lt;wsp:rsid wsp:val=&quot;00955B84&quot;/&gt;&lt;wsp:rsid wsp:val=&quot;00966522&quot;/&gt;&lt;wsp:rsid wsp:val=&quot;00975D69&quot;/&gt;&lt;wsp:rsid wsp:val=&quot;0098082D&quot;/&gt;&lt;wsp:rsid wsp:val=&quot;00982870&quot;/&gt;&lt;wsp:rsid wsp:val=&quot;00985234&quot;/&gt;&lt;wsp:rsid wsp:val=&quot;00986B71&quot;/&gt;&lt;wsp:rsid wsp:val=&quot;00997D80&quot;/&gt;&lt;wsp:rsid wsp:val=&quot;009A065D&quot;/&gt;&lt;wsp:rsid wsp:val=&quot;009A7DA0&quot;/&gt;&lt;wsp:rsid wsp:val=&quot;009B1466&quot;/&gt;&lt;wsp:rsid wsp:val=&quot;009B31CA&quot;/&gt;&lt;wsp:rsid wsp:val=&quot;009C4F26&quot;/&gt;&lt;wsp:rsid wsp:val=&quot;009C5EB6&quot;/&gt;&lt;wsp:rsid wsp:val=&quot;009C6B9B&quot;/&gt;&lt;wsp:rsid wsp:val=&quot;009D026C&quot;/&gt;&lt;wsp:rsid wsp:val=&quot;009D077F&quot;/&gt;&lt;wsp:rsid wsp:val=&quot;009D0C62&quot;/&gt;&lt;wsp:rsid wsp:val=&quot;009D69FC&quot;/&gt;&lt;wsp:rsid wsp:val=&quot;009E2BE4&quot;/&gt;&lt;wsp:rsid wsp:val=&quot;009F0170&quot;/&gt;&lt;wsp:rsid wsp:val=&quot;00A0391B&quot;/&gt;&lt;wsp:rsid wsp:val=&quot;00A13D94&quot;/&gt;&lt;wsp:rsid wsp:val=&quot;00A1598C&quot;/&gt;&lt;wsp:rsid wsp:val=&quot;00A203B7&quot;/&gt;&lt;wsp:rsid wsp:val=&quot;00A2453A&quot;/&gt;&lt;wsp:rsid wsp:val=&quot;00A308B2&quot;/&gt;&lt;wsp:rsid wsp:val=&quot;00A30ED1&quot;/&gt;&lt;wsp:rsid wsp:val=&quot;00A4168C&quot;/&gt;&lt;wsp:rsid wsp:val=&quot;00A43196&quot;/&gt;&lt;wsp:rsid wsp:val=&quot;00A4614A&quot;/&gt;&lt;wsp:rsid wsp:val=&quot;00A462D8&quot;/&gt;&lt;wsp:rsid wsp:val=&quot;00A52CDE&quot;/&gt;&lt;wsp:rsid wsp:val=&quot;00A5570B&quot;/&gt;&lt;wsp:rsid wsp:val=&quot;00A759EF&quot;/&gt;&lt;wsp:rsid wsp:val=&quot;00A8164A&quot;/&gt;&lt;wsp:rsid wsp:val=&quot;00A83999&quot;/&gt;&lt;wsp:rsid wsp:val=&quot;00A86186&quot;/&gt;&lt;wsp:rsid wsp:val=&quot;00A866BE&quot;/&gt;&lt;wsp:rsid wsp:val=&quot;00A90ABB&quot;/&gt;&lt;wsp:rsid wsp:val=&quot;00A91291&quot;/&gt;&lt;wsp:rsid wsp:val=&quot;00A92739&quot;/&gt;&lt;wsp:rsid wsp:val=&quot;00A9493E&quot;/&gt;&lt;wsp:rsid wsp:val=&quot;00A96664&quot;/&gt;&lt;wsp:rsid wsp:val=&quot;00A96C08&quot;/&gt;&lt;wsp:rsid wsp:val=&quot;00A9720B&quot;/&gt;&lt;wsp:rsid wsp:val=&quot;00AA0F78&quot;/&gt;&lt;wsp:rsid wsp:val=&quot;00AA187D&quot;/&gt;&lt;wsp:rsid wsp:val=&quot;00AA205C&quot;/&gt;&lt;wsp:rsid wsp:val=&quot;00AA2CED&quot;/&gt;&lt;wsp:rsid wsp:val=&quot;00AA3250&quot;/&gt;&lt;wsp:rsid wsp:val=&quot;00AA3792&quot;/&gt;&lt;wsp:rsid wsp:val=&quot;00AA48C4&quot;/&gt;&lt;wsp:rsid wsp:val=&quot;00AA4E1E&quot;/&gt;&lt;wsp:rsid wsp:val=&quot;00AA7716&quot;/&gt;&lt;wsp:rsid wsp:val=&quot;00AB3561&quot;/&gt;&lt;wsp:rsid wsp:val=&quot;00AB386D&quot;/&gt;&lt;wsp:rsid wsp:val=&quot;00AB4DEE&quot;/&gt;&lt;wsp:rsid wsp:val=&quot;00AC0FC7&quot;/&gt;&lt;wsp:rsid wsp:val=&quot;00AC1FFC&quot;/&gt;&lt;wsp:rsid wsp:val=&quot;00AC20B4&quot;/&gt;&lt;wsp:rsid wsp:val=&quot;00AC4D51&quot;/&gt;&lt;wsp:rsid wsp:val=&quot;00AC70B7&quot;/&gt;&lt;wsp:rsid wsp:val=&quot;00AD6431&quot;/&gt;&lt;wsp:rsid wsp:val=&quot;00AF09AD&quot;/&gt;&lt;wsp:rsid wsp:val=&quot;00AF2354&quot;/&gt;&lt;wsp:rsid wsp:val=&quot;00AF5486&quot;/&gt;&lt;wsp:rsid wsp:val=&quot;00AF7A0D&quot;/&gt;&lt;wsp:rsid wsp:val=&quot;00B001FD&quot;/&gt;&lt;wsp:rsid wsp:val=&quot;00B16409&quot;/&gt;&lt;wsp:rsid wsp:val=&quot;00B23322&quot;/&gt;&lt;wsp:rsid wsp:val=&quot;00B300E9&quot;/&gt;&lt;wsp:rsid wsp:val=&quot;00B3178C&quot;/&gt;&lt;wsp:rsid wsp:val=&quot;00B428F9&quot;/&gt;&lt;wsp:rsid wsp:val=&quot;00B50AFF&quot;/&gt;&lt;wsp:rsid wsp:val=&quot;00B52924&quot;/&gt;&lt;wsp:rsid wsp:val=&quot;00B55215&quot;/&gt;&lt;wsp:rsid wsp:val=&quot;00B602FB&quot;/&gt;&lt;wsp:rsid wsp:val=&quot;00B62BFD&quot;/&gt;&lt;wsp:rsid wsp:val=&quot;00B66AF1&quot;/&gt;&lt;wsp:rsid wsp:val=&quot;00B759B6&quot;/&gt;&lt;wsp:rsid wsp:val=&quot;00B763FD&quot;/&gt;&lt;wsp:rsid wsp:val=&quot;00B76BB3&quot;/&gt;&lt;wsp:rsid wsp:val=&quot;00B840F6&quot;/&gt;&lt;wsp:rsid wsp:val=&quot;00B9574F&quot;/&gt;&lt;wsp:rsid wsp:val=&quot;00BA07AE&quot;/&gt;&lt;wsp:rsid wsp:val=&quot;00BA2501&quot;/&gt;&lt;wsp:rsid wsp:val=&quot;00BA6303&quot;/&gt;&lt;wsp:rsid wsp:val=&quot;00BB46E9&quot;/&gt;&lt;wsp:rsid wsp:val=&quot;00BC3B20&quot;/&gt;&lt;wsp:rsid wsp:val=&quot;00BC53E9&quot;/&gt;&lt;wsp:rsid wsp:val=&quot;00BC5E18&quot;/&gt;&lt;wsp:rsid wsp:val=&quot;00BD59CC&quot;/&gt;&lt;wsp:rsid wsp:val=&quot;00BD612E&quot;/&gt;&lt;wsp:rsid wsp:val=&quot;00BD7BC1&quot;/&gt;&lt;wsp:rsid wsp:val=&quot;00BE36EE&quot;/&gt;&lt;wsp:rsid wsp:val=&quot;00BF401D&quot;/&gt;&lt;wsp:rsid wsp:val=&quot;00BF49DD&quot;/&gt;&lt;wsp:rsid wsp:val=&quot;00BF5F0B&quot;/&gt;&lt;wsp:rsid wsp:val=&quot;00BF7235&quot;/&gt;&lt;wsp:rsid wsp:val=&quot;00C02380&quot;/&gt;&lt;wsp:rsid wsp:val=&quot;00C023F9&quot;/&gt;&lt;wsp:rsid wsp:val=&quot;00C0437F&quot;/&gt;&lt;wsp:rsid wsp:val=&quot;00C06170&quot;/&gt;&lt;wsp:rsid wsp:val=&quot;00C1053D&quot;/&gt;&lt;wsp:rsid wsp:val=&quot;00C12E08&quot;/&gt;&lt;wsp:rsid wsp:val=&quot;00C14A73&quot;/&gt;&lt;wsp:rsid wsp:val=&quot;00C20A6F&quot;/&gt;&lt;wsp:rsid wsp:val=&quot;00C240E7&quot;/&gt;&lt;wsp:rsid wsp:val=&quot;00C2784F&quot;/&gt;&lt;wsp:rsid wsp:val=&quot;00C3061F&quot;/&gt;&lt;wsp:rsid wsp:val=&quot;00C30AAE&quot;/&gt;&lt;wsp:rsid wsp:val=&quot;00C35B21&quot;/&gt;&lt;wsp:rsid wsp:val=&quot;00C36063&quot;/&gt;&lt;wsp:rsid wsp:val=&quot;00C37CD1&quot;/&gt;&lt;wsp:rsid wsp:val=&quot;00C5260E&quot;/&gt;&lt;wsp:rsid wsp:val=&quot;00C542C7&quot;/&gt;&lt;wsp:rsid wsp:val=&quot;00C54841&quot;/&gt;&lt;wsp:rsid wsp:val=&quot;00C61149&quot;/&gt;&lt;wsp:rsid wsp:val=&quot;00C614FD&quot;/&gt;&lt;wsp:rsid wsp:val=&quot;00C623F7&quot;/&gt;&lt;wsp:rsid wsp:val=&quot;00C67DCD&quot;/&gt;&lt;wsp:rsid wsp:val=&quot;00C70352&quot;/&gt;&lt;wsp:rsid wsp:val=&quot;00C73F1F&quot;/&gt;&lt;wsp:rsid wsp:val=&quot;00C75340&quot;/&gt;&lt;wsp:rsid wsp:val=&quot;00C80E86&quot;/&gt;&lt;wsp:rsid wsp:val=&quot;00C86EEA&quot;/&gt;&lt;wsp:rsid wsp:val=&quot;00C90160&quot;/&gt;&lt;wsp:rsid wsp:val=&quot;00C94223&quot;/&gt;&lt;wsp:rsid wsp:val=&quot;00C94308&quot;/&gt;&lt;wsp:rsid wsp:val=&quot;00C96928&quot;/&gt;&lt;wsp:rsid wsp:val=&quot;00CA33F8&quot;/&gt;&lt;wsp:rsid wsp:val=&quot;00CA4ED3&quot;/&gt;&lt;wsp:rsid wsp:val=&quot;00CB2EF9&quot;/&gt;&lt;wsp:rsid wsp:val=&quot;00CB338A&quot;/&gt;&lt;wsp:rsid wsp:val=&quot;00CB73F0&quot;/&gt;&lt;wsp:rsid wsp:val=&quot;00CD0B99&quot;/&gt;&lt;wsp:rsid wsp:val=&quot;00CE052A&quot;/&gt;&lt;wsp:rsid wsp:val=&quot;00CE3C62&quot;/&gt;&lt;wsp:rsid wsp:val=&quot;00CE48ED&quot;/&gt;&lt;wsp:rsid wsp:val=&quot;00CE5BCC&quot;/&gt;&lt;wsp:rsid wsp:val=&quot;00CE6067&quot;/&gt;&lt;wsp:rsid wsp:val=&quot;00CF0758&quot;/&gt;&lt;wsp:rsid wsp:val=&quot;00CF2216&quot;/&gt;&lt;wsp:rsid wsp:val=&quot;00CF296D&quot;/&gt;&lt;wsp:rsid wsp:val=&quot;00CF6D78&quot;/&gt;&lt;wsp:rsid wsp:val=&quot;00D04E39&quot;/&gt;&lt;wsp:rsid wsp:val=&quot;00D051BD&quot;/&gt;&lt;wsp:rsid wsp:val=&quot;00D07447&quot;/&gt;&lt;wsp:rsid wsp:val=&quot;00D07591&quot;/&gt;&lt;wsp:rsid wsp:val=&quot;00D10DBE&quot;/&gt;&lt;wsp:rsid wsp:val=&quot;00D1188D&quot;/&gt;&lt;wsp:rsid wsp:val=&quot;00D1462E&quot;/&gt;&lt;wsp:rsid wsp:val=&quot;00D14A57&quot;/&gt;&lt;wsp:rsid wsp:val=&quot;00D20EFA&quot;/&gt;&lt;wsp:rsid wsp:val=&quot;00D2271F&quot;/&gt;&lt;wsp:rsid wsp:val=&quot;00D24AA3&quot;/&gt;&lt;wsp:rsid wsp:val=&quot;00D43DEB&quot;/&gt;&lt;wsp:rsid wsp:val=&quot;00D46816&quot;/&gt;&lt;wsp:rsid wsp:val=&quot;00D47BCF&quot;/&gt;&lt;wsp:rsid wsp:val=&quot;00D503C8&quot;/&gt;&lt;wsp:rsid wsp:val=&quot;00D51B50&quot;/&gt;&lt;wsp:rsid wsp:val=&quot;00D55BA6&quot;/&gt;&lt;wsp:rsid wsp:val=&quot;00D60FF8&quot;/&gt;&lt;wsp:rsid wsp:val=&quot;00D7156F&quot;/&gt;&lt;wsp:rsid wsp:val=&quot;00D71B86&quot;/&gt;&lt;wsp:rsid wsp:val=&quot;00D730D5&quot;/&gt;&lt;wsp:rsid wsp:val=&quot;00D746FB&quot;/&gt;&lt;wsp:rsid wsp:val=&quot;00D7646D&quot;/&gt;&lt;wsp:rsid wsp:val=&quot;00D83E1B&quot;/&gt;&lt;wsp:rsid wsp:val=&quot;00D86123&quot;/&gt;&lt;wsp:rsid wsp:val=&quot;00D9298C&quot;/&gt;&lt;wsp:rsid wsp:val=&quot;00D934B8&quot;/&gt;&lt;wsp:rsid wsp:val=&quot;00D93950&quot;/&gt;&lt;wsp:rsid wsp:val=&quot;00D96937&quot;/&gt;&lt;wsp:rsid wsp:val=&quot;00D96DD9&quot;/&gt;&lt;wsp:rsid wsp:val=&quot;00DA2CCD&quot;/&gt;&lt;wsp:rsid wsp:val=&quot;00DA2F36&quot;/&gt;&lt;wsp:rsid wsp:val=&quot;00DA5EFB&quot;/&gt;&lt;wsp:rsid wsp:val=&quot;00DB1CE9&quot;/&gt;&lt;wsp:rsid wsp:val=&quot;00DB3E9C&quot;/&gt;&lt;wsp:rsid wsp:val=&quot;00DB4199&quot;/&gt;&lt;wsp:rsid wsp:val=&quot;00DB6C55&quot;/&gt;&lt;wsp:rsid wsp:val=&quot;00DC02A2&quot;/&gt;&lt;wsp:rsid wsp:val=&quot;00DD3F40&quot;/&gt;&lt;wsp:rsid wsp:val=&quot;00DD75F9&quot;/&gt;&lt;wsp:rsid wsp:val=&quot;00DE7358&quot;/&gt;&lt;wsp:rsid wsp:val=&quot;00DF03E4&quot;/&gt;&lt;wsp:rsid wsp:val=&quot;00DF1A38&quot;/&gt;&lt;wsp:rsid wsp:val=&quot;00DF6540&quot;/&gt;&lt;wsp:rsid wsp:val=&quot;00DF72FA&quot;/&gt;&lt;wsp:rsid wsp:val=&quot;00E10FA5&quot;/&gt;&lt;wsp:rsid wsp:val=&quot;00E11318&quot;/&gt;&lt;wsp:rsid wsp:val=&quot;00E118E9&quot;/&gt;&lt;wsp:rsid wsp:val=&quot;00E134CA&quot;/&gt;&lt;wsp:rsid wsp:val=&quot;00E1611D&quot;/&gt;&lt;wsp:rsid wsp:val=&quot;00E216A5&quot;/&gt;&lt;wsp:rsid wsp:val=&quot;00E23D21&quot;/&gt;&lt;wsp:rsid wsp:val=&quot;00E25BEE&quot;/&gt;&lt;wsp:rsid wsp:val=&quot;00E2646A&quot;/&gt;&lt;wsp:rsid wsp:val=&quot;00E30074&quot;/&gt;&lt;wsp:rsid wsp:val=&quot;00E30F22&quot;/&gt;&lt;wsp:rsid wsp:val=&quot;00E36638&quot;/&gt;&lt;wsp:rsid wsp:val=&quot;00E366BF&quot;/&gt;&lt;wsp:rsid wsp:val=&quot;00E42497&quot;/&gt;&lt;wsp:rsid wsp:val=&quot;00E42ED9&quot;/&gt;&lt;wsp:rsid wsp:val=&quot;00E54748&quot;/&gt;&lt;wsp:rsid wsp:val=&quot;00E61D7C&quot;/&gt;&lt;wsp:rsid wsp:val=&quot;00E625D7&quot;/&gt;&lt;wsp:rsid wsp:val=&quot;00E65241&quot;/&gt;&lt;wsp:rsid wsp:val=&quot;00E66435&quot;/&gt;&lt;wsp:rsid wsp:val=&quot;00E66A5E&quot;/&gt;&lt;wsp:rsid wsp:val=&quot;00E76ED5&quot;/&gt;&lt;wsp:rsid wsp:val=&quot;00E853D1&quot;/&gt;&lt;wsp:rsid wsp:val=&quot;00E8675D&quot;/&gt;&lt;wsp:rsid wsp:val=&quot;00E9255A&quot;/&gt;&lt;wsp:rsid wsp:val=&quot;00E92F21&quot;/&gt;&lt;wsp:rsid wsp:val=&quot;00E961A2&quot;/&gt;&lt;wsp:rsid wsp:val=&quot;00E96F29&quot;/&gt;&lt;wsp:rsid wsp:val=&quot;00EA1EE3&quot;/&gt;&lt;wsp:rsid wsp:val=&quot;00EA3519&quot;/&gt;&lt;wsp:rsid wsp:val=&quot;00EA7F60&quot;/&gt;&lt;wsp:rsid wsp:val=&quot;00EB289A&quot;/&gt;&lt;wsp:rsid wsp:val=&quot;00EB329E&quot;/&gt;&lt;wsp:rsid wsp:val=&quot;00EB5224&quot;/&gt;&lt;wsp:rsid wsp:val=&quot;00EB7AD0&quot;/&gt;&lt;wsp:rsid wsp:val=&quot;00EC1F18&quot;/&gt;&lt;wsp:rsid wsp:val=&quot;00EC31E5&quot;/&gt;&lt;wsp:rsid wsp:val=&quot;00EC3CD2&quot;/&gt;&lt;wsp:rsid wsp:val=&quot;00EC5F6F&quot;/&gt;&lt;wsp:rsid wsp:val=&quot;00ED2AC1&quot;/&gt;&lt;wsp:rsid wsp:val=&quot;00ED510F&quot;/&gt;&lt;wsp:rsid wsp:val=&quot;00ED59F6&quot;/&gt;&lt;wsp:rsid wsp:val=&quot;00ED7477&quot;/&gt;&lt;wsp:rsid wsp:val=&quot;00EE1299&quot;/&gt;&lt;wsp:rsid wsp:val=&quot;00EE3A5A&quot;/&gt;&lt;wsp:rsid wsp:val=&quot;00EF5DBC&quot;/&gt;&lt;wsp:rsid wsp:val=&quot;00EF6138&quot;/&gt;&lt;wsp:rsid wsp:val=&quot;00F0274C&quot;/&gt;&lt;wsp:rsid wsp:val=&quot;00F03CC9&quot;/&gt;&lt;wsp:rsid wsp:val=&quot;00F03EDA&quot;/&gt;&lt;wsp:rsid wsp:val=&quot;00F04EFE&quot;/&gt;&lt;wsp:rsid wsp:val=&quot;00F10B5D&quot;/&gt;&lt;wsp:rsid wsp:val=&quot;00F17814&quot;/&gt;&lt;wsp:rsid wsp:val=&quot;00F20620&quot;/&gt;&lt;wsp:rsid wsp:val=&quot;00F33D09&quot;/&gt;&lt;wsp:rsid wsp:val=&quot;00F36956&quot;/&gt;&lt;wsp:rsid wsp:val=&quot;00F372C0&quot;/&gt;&lt;wsp:rsid wsp:val=&quot;00F40A01&quot;/&gt;&lt;wsp:rsid wsp:val=&quot;00F420DB&quot;/&gt;&lt;wsp:rsid wsp:val=&quot;00F50102&quot;/&gt;&lt;wsp:rsid wsp:val=&quot;00F52240&quot;/&gt;&lt;wsp:rsid wsp:val=&quot;00F53823&quot;/&gt;&lt;wsp:rsid wsp:val=&quot;00F53A2D&quot;/&gt;&lt;wsp:rsid wsp:val=&quot;00F61567&quot;/&gt;&lt;wsp:rsid wsp:val=&quot;00F64765&quot;/&gt;&lt;wsp:rsid wsp:val=&quot;00F65C60&quot;/&gt;&lt;wsp:rsid wsp:val=&quot;00F6766F&quot;/&gt;&lt;wsp:rsid wsp:val=&quot;00F67D1B&quot;/&gt;&lt;wsp:rsid wsp:val=&quot;00F76091&quot;/&gt;&lt;wsp:rsid wsp:val=&quot;00F77912&quot;/&gt;&lt;wsp:rsid wsp:val=&quot;00F77982&quot;/&gt;&lt;wsp:rsid wsp:val=&quot;00F85CF0&quot;/&gt;&lt;wsp:rsid wsp:val=&quot;00F9031A&quot;/&gt;&lt;wsp:rsid wsp:val=&quot;00F904E4&quot;/&gt;&lt;wsp:rsid wsp:val=&quot;00F91A46&quot;/&gt;&lt;wsp:rsid wsp:val=&quot;00F91C46&quot;/&gt;&lt;wsp:rsid wsp:val=&quot;00F93BE7&quot;/&gt;&lt;wsp:rsid wsp:val=&quot;00F96232&quot;/&gt;&lt;wsp:rsid wsp:val=&quot;00F9732F&quot;/&gt;&lt;wsp:rsid wsp:val=&quot;00FA0D62&quot;/&gt;&lt;wsp:rsid wsp:val=&quot;00FA49B0&quot;/&gt;&lt;wsp:rsid wsp:val=&quot;00FA6294&quot;/&gt;&lt;wsp:rsid wsp:val=&quot;00FA6726&quot;/&gt;&lt;wsp:rsid wsp:val=&quot;00FB16E6&quot;/&gt;&lt;wsp:rsid wsp:val=&quot;00FB2A74&quot;/&gt;&lt;wsp:rsid wsp:val=&quot;00FB47C0&quot;/&gt;&lt;wsp:rsid wsp:val=&quot;00FB6ED0&quot;/&gt;&lt;wsp:rsid wsp:val=&quot;00FC0468&quot;/&gt;&lt;wsp:rsid wsp:val=&quot;00FC163D&quot;/&gt;&lt;wsp:rsid wsp:val=&quot;00FC1CD5&quot;/&gt;&lt;wsp:rsid wsp:val=&quot;00FC23BD&quot;/&gt;&lt;wsp:rsid wsp:val=&quot;00FD0D43&quot;/&gt;&lt;wsp:rsid wsp:val=&quot;00FD2AF5&quot;/&gt;&lt;wsp:rsid wsp:val=&quot;00FD57BB&quot;/&gt;&lt;wsp:rsid wsp:val=&quot;00FE0C02&quot;/&gt;&lt;wsp:rsid wsp:val=&quot;00FE1DD8&quot;/&gt;&lt;wsp:rsid wsp:val=&quot;00FE3EEA&quot;/&gt;&lt;wsp:rsid wsp:val=&quot;00FE4340&quot;/&gt;&lt;wsp:rsid wsp:val=&quot;00FE59DD&quot;/&gt;&lt;wsp:rsid wsp:val=&quot;00FE6EE2&quot;/&gt;&lt;wsp:rsid wsp:val=&quot;00FF08F4&quot;/&gt;&lt;/wsp:rsids&gt;&lt;/w:docPr&gt;&lt;w:body&gt;&lt;w:p wsp:rsidR=&quot;00000000&quot; wsp:rsidRDefault=&quot;00411374&quot;&gt;&lt;m:oMathPara&gt;&lt;m:oMath&gt;&lt;m:r&gt;&lt;w:rPr&gt;&lt;w:rFonts w:ascii=&quot;Cambria Math&quot; w:h-ansi=&quot;Cambria Math&quot;/&gt;&lt;wx:font wx:val=&quot;Cambria Math&quot;/&gt;&lt;w:i/&gt;&lt;/w:rPr&gt;&lt;m:t&gt;minimĂˇlnĂ­ zĂˇklad=poÄŤet mÄ›sĂ­cĹŻ vykonĂˇvĂˇnĂ­ hlavnĂ­ samostatnĂ© ÄŤinnosti&lt;/m:t&gt;&lt;/m:r&gt;&lt;m:r&gt;&lt;w:rPr&gt;&lt;w:rFonts w:ascii=&quot;Cambria Math&quot; w:h-ansi=&quot;Cambria Math&quot;/&gt;&lt;wx:font wx:val=&quot;Cambria Math&quot;/&gt;&lt;w:i/&gt;&lt;w:lang w:val=&quot;EN-GB&quot;/&gt;&lt;/w:rPr&gt;&lt;m:t&gt;*1,2*prĹŻm.mzda+ &lt;/m:t&gt;&lt;/m:r&gt;&lt;m:r&gt;&lt;w:rPr&gt;&lt;w:rFonts w:ascii=&quot;Cambria Math&quot; w:h-ansi=&quot;Cambria Math&quot;/&gt;&lt;wx:font wx:val=&quot;Cambria Math&quot;/&gt;&lt;w:i/&gt;&lt;/w:rPr&gt;&lt;m:t&gt;poÄŤet mÄ›sĂ­cĹŻ vykonĂˇvĂˇnĂ­ vedlejĹˇĂ­ samostatnĂ© ÄŤinnosti&lt;/m:t&gt;&lt;/m:r&gt;&lt;m:r&gt;&lt;w:rPr&gt;&lt;w:rFonts w:ascii=&quot;Cambria Math&quot; w:h-ansi=&quot;Cambria Math&quot;/&gt;&lt;wx:font wx:val=&quot;Cambria Math&quot;/&gt;&lt;w:i/&gt;&lt;w:lang w:val=&quot;EN-GB&quot;/&gt;&lt;/w:rPr&gt;&lt;m:t&gt;*0,5*prĹŻm.mzda&lt;/m:t&gt;&lt;/m:r&gt;&lt;/m:oMath&gt;&lt;/m:oMathPara&gt;&lt;/w:p&gt;&lt;w:sectPr wsp:rsidR=&quot;00000000&quot;&gt;&lt;w:pgSz w:w=&quot;12240&quot; w:h=&quot;15840&quot;/&gt;&lt;w:pgMar w:top=&quot;1417&quot; w:right=&quot;1417&quot; w:bottom=&quot;1417&quot; w:left=&quot;1417&quot; w:header=&quot;708&quot; w:footer=&quot;708&quot; w:gutter=&quot;0&quot;/&gt;&lt;w:cols w:space=&quot;708&quot;/&gt;&lt;/w:sectPr&gt;&lt;/w:body&gt;&lt;/w:wordDocument&gt;">
            <v:imagedata r:id="rId10" o:title="" chromakey="white"/>
          </v:shape>
        </w:pict>
      </w:r>
    </w:p>
    <w:p w:rsidR="00694CD8" w:rsidRPr="00D07591" w:rsidRDefault="00694CD8" w:rsidP="00C54841">
      <w:pPr>
        <w:spacing w:after="120" w:line="240" w:lineRule="auto"/>
        <w:ind w:left="720"/>
        <w:jc w:val="both"/>
      </w:pPr>
      <w:r w:rsidRPr="00D07591">
        <w:t xml:space="preserve">Pro zaměstnance by námi navrhovaný minimální základ byl roven nule, pro OSVČ by byl stejný jako dosud. Srozumitelnost zákona by však byla vyšší, protože zdravotní i sociální pojištění by se počítalo technicky stejným postupem. </w:t>
      </w:r>
    </w:p>
    <w:p w:rsidR="00694CD8" w:rsidRPr="00D07591" w:rsidRDefault="00694CD8" w:rsidP="002D52ED">
      <w:pPr>
        <w:spacing w:after="120" w:line="240" w:lineRule="auto"/>
        <w:jc w:val="both"/>
        <w:rPr>
          <w:b/>
          <w:sz w:val="24"/>
          <w:szCs w:val="24"/>
        </w:rPr>
      </w:pPr>
    </w:p>
    <w:p w:rsidR="00694CD8" w:rsidRPr="00D07591" w:rsidRDefault="00694CD8" w:rsidP="002D52ED">
      <w:pPr>
        <w:spacing w:after="120" w:line="240" w:lineRule="auto"/>
        <w:jc w:val="both"/>
        <w:rPr>
          <w:b/>
          <w:sz w:val="24"/>
          <w:szCs w:val="24"/>
        </w:rPr>
      </w:pPr>
    </w:p>
    <w:p w:rsidR="00694CD8" w:rsidRPr="00D07591" w:rsidRDefault="00694CD8" w:rsidP="002D52ED">
      <w:pPr>
        <w:spacing w:after="120" w:line="240" w:lineRule="auto"/>
        <w:jc w:val="both"/>
        <w:rPr>
          <w:b/>
          <w:sz w:val="24"/>
          <w:szCs w:val="24"/>
        </w:rPr>
      </w:pPr>
      <w:r w:rsidRPr="00D07591">
        <w:rPr>
          <w:b/>
          <w:sz w:val="24"/>
          <w:szCs w:val="24"/>
        </w:rPr>
        <w:t>2. Zrušení libovolného základu pojištění u osob samostatně výdělečně činných</w:t>
      </w:r>
    </w:p>
    <w:p w:rsidR="00694CD8" w:rsidRPr="00D07591" w:rsidRDefault="00694CD8" w:rsidP="002D52ED">
      <w:pPr>
        <w:spacing w:after="120" w:line="240" w:lineRule="auto"/>
        <w:jc w:val="both"/>
      </w:pPr>
      <w:r w:rsidRPr="00D07591">
        <w:t xml:space="preserve">Návrh zákona na rozdíl od současné úpravy neumožňuje dobrovolné navýšení základu důchodového pojištění samostatně výdělečně činných osob. Nicméně, pro drtivou část osob se důchodové pojištění chová jako daň, a proto pro ně ani není výhodné dobrovolně navyšovat základ důchodového pojištění. </w:t>
      </w:r>
    </w:p>
    <w:p w:rsidR="00694CD8" w:rsidRPr="00D07591" w:rsidRDefault="00694CD8" w:rsidP="002D52ED">
      <w:pPr>
        <w:spacing w:after="120" w:line="240" w:lineRule="auto"/>
        <w:jc w:val="both"/>
      </w:pPr>
      <w:r w:rsidRPr="00D07591">
        <w:t>K tomuto závěru jsme dospěli na základě porovnání 1) výnosnosti státního pilíře penzijního systému při dobrovolném navýšení základu důchodového pojištění a 2) výnosnosti státního pilíře penzijního systému při standardním základu důchodového pojištění a alokaci peněz, které by jednotlivec dle možnosti 1) dobrovolně odváděl do státního pilíře penzijního systému, do III pilíře penzijního systému (penzijního připojištění). Výpočty jsme prováděli dle stejné metodiky stejné jako Schneider, Šatava (2012).</w:t>
      </w:r>
    </w:p>
    <w:p w:rsidR="00694CD8" w:rsidRPr="00D07591" w:rsidRDefault="00694CD8" w:rsidP="002D52ED">
      <w:pPr>
        <w:spacing w:after="120" w:line="240" w:lineRule="auto"/>
        <w:jc w:val="both"/>
      </w:pPr>
      <w:r w:rsidRPr="00D07591">
        <w:t xml:space="preserve">Jedinou skupinou, pro jejíž některé členy může být výhodné dobrovolně navyšovat základ důchodového pojištění ve státním pilíři penzijního systému, jsou ženy nad 45 let žen s nízkým příjmem. Tyto ženy vzhledem ke svým nízkým příjmům však s velkou pravděpodobností nemají dostatečné volné zdroje na to, aby skutečně mohli navyšovat základ pojistného. Navíc, při dané finanční gramotnosti a obecně rozšířeném pohledu na státní pilíř důchodového pojištění lze předpokládat, že minimum samostatně výdělečně činných osob dobrovolně navyšuje základ důchodového pojištění. Mnohem výraznější dopad na vybrané pojistné bude mít pokles „efektivní“ sazby důchodového pojištění ze 14 % (28 % z 50 % příjmů) na 6,5 %. </w:t>
      </w:r>
    </w:p>
    <w:p w:rsidR="00694CD8" w:rsidRPr="00D07591" w:rsidRDefault="00694CD8" w:rsidP="002D52ED">
      <w:pPr>
        <w:spacing w:after="120" w:line="240" w:lineRule="auto"/>
        <w:jc w:val="both"/>
      </w:pPr>
      <w:r w:rsidRPr="00D07591">
        <w:t xml:space="preserve">Z pohledu teorie též neexistuje důvod, proč by ženy, pro které je výhodné dobrovolně navýšit základ sociálního pojištění, měli mít tuto možnost, jestliže jsou osoby samostatně výdělečně činné, ale již ne pokud jsou zaměstnanci. </w:t>
      </w:r>
    </w:p>
    <w:p w:rsidR="00694CD8" w:rsidRPr="00D07591" w:rsidRDefault="00694CD8" w:rsidP="002D52ED">
      <w:pPr>
        <w:spacing w:after="120" w:line="240" w:lineRule="auto"/>
        <w:jc w:val="both"/>
      </w:pPr>
      <w:r w:rsidRPr="00D07591">
        <w:t>Změny základu a sazby sociálního pojištění a následné odpovídající změny základu pro výpočet starobního důchodu dle návrhu zákona již samy osobě výrazně zvýhodňují osoby samostatně výdělečně činné. První pilíř penzijního systému totiž relativně výrazně redistribuuje od lidí s vysokými příjmy k těm s nízkými. Důchodový systém se k osobám samostatně výdělečně činným bude po změně sazby a základu chovat jako osobám k relativně chudším, jelikož jejich odvedené pojistné bude odpovídat pojistnému zaměstnanců s podstatně nižším příjmem. Z toho důvodu bude penzijní systém redistribuovat prostředky od zaměstnanců k osobám samostatně výdělečně činným.</w:t>
      </w:r>
    </w:p>
    <w:p w:rsidR="00694CD8" w:rsidRPr="00D07591" w:rsidRDefault="00694CD8" w:rsidP="002D52ED">
      <w:pPr>
        <w:spacing w:after="120" w:line="240" w:lineRule="auto"/>
        <w:jc w:val="both"/>
      </w:pPr>
    </w:p>
    <w:p w:rsidR="00694CD8" w:rsidRPr="00D07591" w:rsidRDefault="00694CD8" w:rsidP="002D52ED">
      <w:pPr>
        <w:spacing w:after="120" w:line="240" w:lineRule="auto"/>
        <w:jc w:val="both"/>
        <w:rPr>
          <w:b/>
          <w:sz w:val="24"/>
          <w:szCs w:val="24"/>
        </w:rPr>
      </w:pPr>
      <w:r w:rsidRPr="00D07591">
        <w:rPr>
          <w:b/>
          <w:sz w:val="24"/>
          <w:szCs w:val="24"/>
        </w:rPr>
        <w:t>3. Změna výpočtu záloh u osob samostatně výdělečně činných</w:t>
      </w:r>
    </w:p>
    <w:p w:rsidR="00694CD8" w:rsidRPr="00D07591" w:rsidRDefault="00694CD8" w:rsidP="002D52ED">
      <w:pPr>
        <w:spacing w:after="120" w:line="240" w:lineRule="auto"/>
        <w:jc w:val="both"/>
      </w:pPr>
      <w:r w:rsidRPr="00D07591">
        <w:t>Návrh zákona mění u osob samostatně výdělečně činných výpočet záloh na sociální a zdravotní pojištění. Měsíční zálohy v následujícím roce budou i nadále vypočteny ze současné výše pojistného. Pro výpočet záloh v následujícím roce však nebude současné pojistné děleno počtem měsíců, kdy osoba vykonávala samostatnou výdělečnou činnost, ale vždy 12 měsíci. I nadále bude platit, že výše zálohy nesmí klesnout pod zákonem danou minimální výši</w:t>
      </w:r>
      <w:r w:rsidRPr="00D07591">
        <w:rPr>
          <w:rStyle w:val="FootnoteReference"/>
        </w:rPr>
        <w:footnoteReference w:id="5"/>
      </w:r>
      <w:r w:rsidRPr="00D07591">
        <w:t>. Tato změna přinese až 12násobné snížení záloh u osob, které vykonávaly samostatnou činnost pouze část roku, ale i snížení inkasovaných záloh zdravotními pojišťovnami. Jde však pouze o pokles cash-flow zdravotních pojišťoven, nikoli o pokles vybraného pojistného. Případné rozdíly mezi pojistným a zálohami budou vyrovnány na konci kalendářního roku.</w:t>
      </w:r>
    </w:p>
    <w:p w:rsidR="00694CD8" w:rsidRPr="00D07591" w:rsidRDefault="00694CD8" w:rsidP="002D52ED">
      <w:pPr>
        <w:spacing w:after="120" w:line="240" w:lineRule="auto"/>
        <w:jc w:val="both"/>
      </w:pPr>
      <w:r w:rsidRPr="00D07591">
        <w:t xml:space="preserve">Tato změna sníží měsíční zálohy inkasované během roku u zdravotního pojištění o </w:t>
      </w:r>
      <w:r w:rsidRPr="00D07591">
        <w:rPr>
          <w:b/>
        </w:rPr>
        <w:t xml:space="preserve">79 milionů </w:t>
      </w:r>
      <w:r w:rsidRPr="00D07591">
        <w:t xml:space="preserve">korun, u důchodového pojištění o </w:t>
      </w:r>
      <w:r w:rsidRPr="00D07591">
        <w:rPr>
          <w:b/>
        </w:rPr>
        <w:t>170 milionů</w:t>
      </w:r>
      <w:r w:rsidRPr="00D07591">
        <w:t xml:space="preserve"> korun, </w:t>
      </w:r>
      <w:r w:rsidRPr="00D07591">
        <w:rPr>
          <w:b/>
        </w:rPr>
        <w:t xml:space="preserve">tedy o přibližně 0,5 promile celkové vybrané částky u každého pojištění. </w:t>
      </w:r>
    </w:p>
    <w:p w:rsidR="00694CD8" w:rsidRPr="00D07591" w:rsidRDefault="00694CD8" w:rsidP="002D52ED">
      <w:pPr>
        <w:spacing w:after="120" w:line="240" w:lineRule="auto"/>
        <w:jc w:val="both"/>
      </w:pPr>
      <w:r w:rsidRPr="00D07591">
        <w:t>Změna výpočtu záloh se nedotkne drtivé většiny samostatně výdělečných osob, jelikož téměř 92</w:t>
      </w:r>
      <w:r w:rsidRPr="00D07591">
        <w:rPr>
          <w:b/>
        </w:rPr>
        <w:t xml:space="preserve"> %</w:t>
      </w:r>
      <w:r w:rsidRPr="00D07591">
        <w:t xml:space="preserve"> osob vykonávalo samostatně výdělečnou činnost celý rok.</w:t>
      </w:r>
    </w:p>
    <w:p w:rsidR="00694CD8" w:rsidRPr="00D07591" w:rsidRDefault="00694CD8" w:rsidP="002D52ED">
      <w:pPr>
        <w:pStyle w:val="Caption"/>
        <w:keepNext/>
        <w:jc w:val="both"/>
      </w:pPr>
      <w:r w:rsidRPr="00D07591">
        <w:t xml:space="preserve">Graf a tabulka 3.1: Počet měsíců, po které osoby samostatně výdělečně činné, vykonávaly činnost </w:t>
      </w:r>
    </w:p>
    <w:p w:rsidR="00694CD8" w:rsidRPr="00D07591" w:rsidRDefault="00694CD8" w:rsidP="002D52ED">
      <w:pPr>
        <w:spacing w:after="120" w:line="240" w:lineRule="auto"/>
        <w:jc w:val="both"/>
      </w:pPr>
      <w:r w:rsidRPr="005B0070">
        <w:rPr>
          <w:noProof/>
        </w:rPr>
        <w:pict>
          <v:shape id="obrázek 1" o:spid="_x0000_i1027" type="#_x0000_t75" style="width:282pt;height:206.25pt;visibility:visible">
            <v:imagedata r:id="rId11" o:title=""/>
          </v:shape>
        </w:pict>
      </w:r>
    </w:p>
    <w:p w:rsidR="00694CD8" w:rsidRPr="00D07591" w:rsidRDefault="00694CD8" w:rsidP="002D52ED">
      <w:pPr>
        <w:spacing w:after="120" w:line="240" w:lineRule="auto"/>
        <w:jc w:val="both"/>
      </w:pPr>
    </w:p>
    <w:tbl>
      <w:tblPr>
        <w:tblW w:w="3540" w:type="dxa"/>
        <w:tblInd w:w="55" w:type="dxa"/>
        <w:tblCellMar>
          <w:left w:w="70" w:type="dxa"/>
          <w:right w:w="70" w:type="dxa"/>
        </w:tblCellMar>
        <w:tblLook w:val="00A0"/>
      </w:tblPr>
      <w:tblGrid>
        <w:gridCol w:w="1180"/>
        <w:gridCol w:w="1180"/>
        <w:gridCol w:w="1180"/>
      </w:tblGrid>
      <w:tr w:rsidR="00694CD8" w:rsidRPr="00D9298C" w:rsidTr="008C701C">
        <w:trPr>
          <w:trHeight w:val="600"/>
        </w:trPr>
        <w:tc>
          <w:tcPr>
            <w:tcW w:w="1180" w:type="dxa"/>
            <w:tcBorders>
              <w:top w:val="single" w:sz="12" w:space="0" w:color="auto"/>
              <w:left w:val="nil"/>
              <w:bottom w:val="nil"/>
              <w:right w:val="nil"/>
            </w:tcBorders>
            <w:vAlign w:val="center"/>
          </w:tcPr>
          <w:p w:rsidR="00694CD8" w:rsidRPr="00D07591" w:rsidRDefault="00694CD8" w:rsidP="002D52ED">
            <w:pPr>
              <w:spacing w:after="0" w:line="240" w:lineRule="auto"/>
              <w:jc w:val="center"/>
              <w:rPr>
                <w:color w:val="000000"/>
              </w:rPr>
            </w:pPr>
            <w:r w:rsidRPr="00D07591">
              <w:rPr>
                <w:color w:val="000000"/>
              </w:rPr>
              <w:t>počet měsíců</w:t>
            </w:r>
          </w:p>
        </w:tc>
        <w:tc>
          <w:tcPr>
            <w:tcW w:w="1180" w:type="dxa"/>
            <w:tcBorders>
              <w:top w:val="single" w:sz="12" w:space="0" w:color="auto"/>
              <w:left w:val="nil"/>
              <w:bottom w:val="nil"/>
              <w:right w:val="nil"/>
            </w:tcBorders>
            <w:vAlign w:val="center"/>
          </w:tcPr>
          <w:p w:rsidR="00694CD8" w:rsidRPr="00D07591" w:rsidRDefault="00694CD8" w:rsidP="002D52ED">
            <w:pPr>
              <w:spacing w:after="0" w:line="240" w:lineRule="auto"/>
              <w:jc w:val="center"/>
              <w:rPr>
                <w:color w:val="000000"/>
              </w:rPr>
            </w:pPr>
            <w:r w:rsidRPr="00D07591">
              <w:rPr>
                <w:color w:val="000000"/>
              </w:rPr>
              <w:t>počet OSVČ absolutně</w:t>
            </w:r>
          </w:p>
        </w:tc>
        <w:tc>
          <w:tcPr>
            <w:tcW w:w="1180" w:type="dxa"/>
            <w:tcBorders>
              <w:top w:val="single" w:sz="12" w:space="0" w:color="auto"/>
              <w:left w:val="nil"/>
              <w:bottom w:val="nil"/>
              <w:right w:val="nil"/>
            </w:tcBorders>
            <w:vAlign w:val="center"/>
          </w:tcPr>
          <w:p w:rsidR="00694CD8" w:rsidRPr="00D07591" w:rsidRDefault="00694CD8" w:rsidP="002D52ED">
            <w:pPr>
              <w:spacing w:after="0" w:line="240" w:lineRule="auto"/>
              <w:jc w:val="center"/>
              <w:rPr>
                <w:color w:val="000000"/>
              </w:rPr>
            </w:pPr>
            <w:r w:rsidRPr="00D07591">
              <w:rPr>
                <w:color w:val="000000"/>
              </w:rPr>
              <w:t>počet OSVČ relativně</w:t>
            </w:r>
          </w:p>
        </w:tc>
      </w:tr>
      <w:tr w:rsidR="00694CD8" w:rsidRPr="00D9298C" w:rsidTr="008C701C">
        <w:trPr>
          <w:trHeight w:val="315"/>
        </w:trPr>
        <w:tc>
          <w:tcPr>
            <w:tcW w:w="1180" w:type="dxa"/>
            <w:tcBorders>
              <w:top w:val="single" w:sz="12" w:space="0" w:color="auto"/>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w:t>
            </w:r>
          </w:p>
        </w:tc>
        <w:tc>
          <w:tcPr>
            <w:tcW w:w="1180" w:type="dxa"/>
            <w:tcBorders>
              <w:top w:val="single" w:sz="12" w:space="0" w:color="auto"/>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440</w:t>
            </w:r>
          </w:p>
        </w:tc>
        <w:tc>
          <w:tcPr>
            <w:tcW w:w="1180" w:type="dxa"/>
            <w:tcBorders>
              <w:top w:val="single" w:sz="12" w:space="0" w:color="auto"/>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0.06</w:t>
            </w:r>
          </w:p>
        </w:tc>
      </w:tr>
      <w:tr w:rsidR="00694CD8" w:rsidRPr="00D9298C" w:rsidTr="008C701C">
        <w:trPr>
          <w:trHeight w:val="300"/>
        </w:trPr>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2</w:t>
            </w:r>
          </w:p>
        </w:tc>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1 390</w:t>
            </w:r>
          </w:p>
        </w:tc>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0.19</w:t>
            </w:r>
          </w:p>
        </w:tc>
      </w:tr>
      <w:tr w:rsidR="00694CD8" w:rsidRPr="00D9298C" w:rsidTr="008C701C">
        <w:trPr>
          <w:trHeight w:val="300"/>
        </w:trPr>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3</w:t>
            </w:r>
          </w:p>
        </w:tc>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1 687</w:t>
            </w:r>
          </w:p>
        </w:tc>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0.23</w:t>
            </w:r>
          </w:p>
        </w:tc>
      </w:tr>
      <w:tr w:rsidR="00694CD8" w:rsidRPr="00D9298C" w:rsidTr="008C701C">
        <w:trPr>
          <w:trHeight w:val="300"/>
        </w:trPr>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4</w:t>
            </w:r>
          </w:p>
        </w:tc>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4 791</w:t>
            </w:r>
          </w:p>
        </w:tc>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0.66</w:t>
            </w:r>
          </w:p>
        </w:tc>
      </w:tr>
      <w:tr w:rsidR="00694CD8" w:rsidRPr="00D9298C" w:rsidTr="008C701C">
        <w:trPr>
          <w:trHeight w:val="300"/>
        </w:trPr>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5</w:t>
            </w:r>
          </w:p>
        </w:tc>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3 498</w:t>
            </w:r>
          </w:p>
        </w:tc>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0.48</w:t>
            </w:r>
          </w:p>
        </w:tc>
      </w:tr>
      <w:tr w:rsidR="00694CD8" w:rsidRPr="00D9298C" w:rsidTr="008C701C">
        <w:trPr>
          <w:trHeight w:val="300"/>
        </w:trPr>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6</w:t>
            </w:r>
          </w:p>
        </w:tc>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7 259</w:t>
            </w:r>
          </w:p>
        </w:tc>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w:t>
            </w:r>
          </w:p>
        </w:tc>
      </w:tr>
      <w:tr w:rsidR="00694CD8" w:rsidRPr="00D9298C" w:rsidTr="008C701C">
        <w:trPr>
          <w:trHeight w:val="300"/>
        </w:trPr>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7</w:t>
            </w:r>
          </w:p>
        </w:tc>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5 164</w:t>
            </w:r>
          </w:p>
        </w:tc>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0.71</w:t>
            </w:r>
          </w:p>
        </w:tc>
      </w:tr>
      <w:tr w:rsidR="00694CD8" w:rsidRPr="00D9298C" w:rsidTr="008C701C">
        <w:trPr>
          <w:trHeight w:val="300"/>
        </w:trPr>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8</w:t>
            </w:r>
          </w:p>
        </w:tc>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11 716</w:t>
            </w:r>
          </w:p>
        </w:tc>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1.62</w:t>
            </w:r>
          </w:p>
        </w:tc>
      </w:tr>
      <w:tr w:rsidR="00694CD8" w:rsidRPr="00D9298C" w:rsidTr="008C701C">
        <w:trPr>
          <w:trHeight w:val="300"/>
        </w:trPr>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9</w:t>
            </w:r>
          </w:p>
        </w:tc>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4 201</w:t>
            </w:r>
          </w:p>
        </w:tc>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0.58</w:t>
            </w:r>
          </w:p>
        </w:tc>
      </w:tr>
      <w:tr w:rsidR="00694CD8" w:rsidRPr="00D9298C" w:rsidTr="008C701C">
        <w:trPr>
          <w:trHeight w:val="300"/>
        </w:trPr>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10</w:t>
            </w:r>
          </w:p>
        </w:tc>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12 333</w:t>
            </w:r>
          </w:p>
        </w:tc>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1.7</w:t>
            </w:r>
          </w:p>
        </w:tc>
      </w:tr>
      <w:tr w:rsidR="00694CD8" w:rsidRPr="00D9298C" w:rsidTr="008C701C">
        <w:trPr>
          <w:trHeight w:val="300"/>
        </w:trPr>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11</w:t>
            </w:r>
          </w:p>
        </w:tc>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5 917</w:t>
            </w:r>
          </w:p>
        </w:tc>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0.82</w:t>
            </w:r>
          </w:p>
        </w:tc>
      </w:tr>
      <w:tr w:rsidR="00694CD8" w:rsidRPr="00D9298C" w:rsidTr="008C701C">
        <w:trPr>
          <w:trHeight w:val="315"/>
        </w:trPr>
        <w:tc>
          <w:tcPr>
            <w:tcW w:w="118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12</w:t>
            </w:r>
          </w:p>
        </w:tc>
        <w:tc>
          <w:tcPr>
            <w:tcW w:w="118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666 660</w:t>
            </w:r>
          </w:p>
        </w:tc>
        <w:tc>
          <w:tcPr>
            <w:tcW w:w="118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91.95</w:t>
            </w:r>
          </w:p>
        </w:tc>
      </w:tr>
      <w:tr w:rsidR="00694CD8" w:rsidRPr="00D9298C" w:rsidTr="008C701C">
        <w:trPr>
          <w:trHeight w:val="330"/>
        </w:trPr>
        <w:tc>
          <w:tcPr>
            <w:tcW w:w="118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Celkem</w:t>
            </w:r>
          </w:p>
        </w:tc>
        <w:tc>
          <w:tcPr>
            <w:tcW w:w="118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725 056</w:t>
            </w:r>
          </w:p>
        </w:tc>
        <w:tc>
          <w:tcPr>
            <w:tcW w:w="118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100</w:t>
            </w:r>
          </w:p>
        </w:tc>
      </w:tr>
    </w:tbl>
    <w:p w:rsidR="00694CD8" w:rsidRPr="00D07591" w:rsidRDefault="00694CD8" w:rsidP="002D52ED">
      <w:pPr>
        <w:spacing w:after="120" w:line="240" w:lineRule="auto"/>
        <w:jc w:val="both"/>
      </w:pPr>
    </w:p>
    <w:p w:rsidR="00694CD8" w:rsidRPr="00D07591" w:rsidRDefault="00694CD8" w:rsidP="002D52ED">
      <w:pPr>
        <w:spacing w:after="120" w:line="240" w:lineRule="auto"/>
        <w:jc w:val="both"/>
      </w:pPr>
      <w:r w:rsidRPr="00D07591">
        <w:t xml:space="preserve">Změna výpočtu záloh je zcela v duchu logiky přechodu výpočtů pojištění a jeho komponent z měsíční na roční bázi. 92 % samostatně výdělečných osob tuto změnu nijak nepocítí, protože vykonávají samostatnou činnost celých 12 měsíců. U zbylých 8 % změny výpočtu změní zálohy na pojistné v řádu desítek až desítek tisíc korun v závislosti na současném počtu měsíců vykonávání samostatné činnosti. Tabulky 3.2 až 3.4 sumarizují průměrnou výši zálohy dle současné úpravy, její změnu, výši zálohy dle budoucí úpravy a počet měsíců vykonávání samostatné činnosti v deseti stejně velkých skupinách vytvořených dle velikosti změny zálohy. Pro účely tabulky jsme osoby samostatně výdělečně činné, které vykonávaly samostatnou výdělečnou činnost méně než 12 měsíců, nejdříve seřadili dle velikosti změny zálohy. Potom jsme takto seřazené samostatně výdělečně činné osoby rozdělili do deseti decilů. Nakonec jsme vypočítali průměrnou současnou zálohu, její změnu, průměrnou budoucí zálohu a průměrný počet měsíců vykonávání samostatné výdělečné činnosti v každé skupině. Například údaje pro skupinu 1 tedy shrnují průměrnou současnou zálohu, její změnu, průměrnou budoucí zálohu a průměrný počet měsíců samostatné výdělečné činnosti pro 10 % OSVČ s nejnižší změnou zálohy ze všech OSVČ, kterým se záloha měnila.  </w:t>
      </w:r>
    </w:p>
    <w:p w:rsidR="00694CD8" w:rsidRPr="00D07591" w:rsidRDefault="00694CD8" w:rsidP="002D52ED">
      <w:pPr>
        <w:pStyle w:val="Caption"/>
        <w:keepNext/>
      </w:pPr>
      <w:r w:rsidRPr="00D07591">
        <w:t>Tabulka 3.2: Výše současné zálohy, její změny a budoucí zálohy na sociální pojištění</w:t>
      </w:r>
    </w:p>
    <w:tbl>
      <w:tblPr>
        <w:tblW w:w="7100" w:type="dxa"/>
        <w:tblInd w:w="55" w:type="dxa"/>
        <w:tblCellMar>
          <w:left w:w="70" w:type="dxa"/>
          <w:right w:w="70" w:type="dxa"/>
        </w:tblCellMar>
        <w:tblLook w:val="00A0"/>
      </w:tblPr>
      <w:tblGrid>
        <w:gridCol w:w="940"/>
        <w:gridCol w:w="1540"/>
        <w:gridCol w:w="1540"/>
        <w:gridCol w:w="1540"/>
        <w:gridCol w:w="1540"/>
      </w:tblGrid>
      <w:tr w:rsidR="00694CD8" w:rsidRPr="00D9298C" w:rsidTr="00A30ED1">
        <w:trPr>
          <w:trHeight w:val="600"/>
        </w:trPr>
        <w:tc>
          <w:tcPr>
            <w:tcW w:w="940" w:type="dxa"/>
            <w:tcBorders>
              <w:top w:val="single" w:sz="12" w:space="0" w:color="auto"/>
              <w:left w:val="nil"/>
              <w:bottom w:val="nil"/>
              <w:right w:val="nil"/>
            </w:tcBorders>
            <w:vAlign w:val="center"/>
          </w:tcPr>
          <w:p w:rsidR="00694CD8" w:rsidRPr="00D07591" w:rsidRDefault="00694CD8" w:rsidP="002D52ED">
            <w:pPr>
              <w:spacing w:after="0" w:line="240" w:lineRule="auto"/>
              <w:jc w:val="center"/>
              <w:rPr>
                <w:color w:val="000000"/>
              </w:rPr>
            </w:pPr>
            <w:r w:rsidRPr="00D07591">
              <w:rPr>
                <w:color w:val="000000"/>
              </w:rPr>
              <w:t>skupina</w:t>
            </w:r>
          </w:p>
        </w:tc>
        <w:tc>
          <w:tcPr>
            <w:tcW w:w="1540" w:type="dxa"/>
            <w:tcBorders>
              <w:top w:val="single" w:sz="12" w:space="0" w:color="auto"/>
              <w:left w:val="nil"/>
              <w:bottom w:val="nil"/>
              <w:right w:val="nil"/>
            </w:tcBorders>
            <w:vAlign w:val="center"/>
          </w:tcPr>
          <w:p w:rsidR="00694CD8" w:rsidRPr="00D07591" w:rsidRDefault="00694CD8" w:rsidP="002D52ED">
            <w:pPr>
              <w:spacing w:after="0" w:line="240" w:lineRule="auto"/>
              <w:jc w:val="center"/>
              <w:rPr>
                <w:color w:val="000000"/>
              </w:rPr>
            </w:pPr>
            <w:r w:rsidRPr="00D07591">
              <w:rPr>
                <w:color w:val="000000"/>
              </w:rPr>
              <w:t>současná záloha</w:t>
            </w:r>
          </w:p>
        </w:tc>
        <w:tc>
          <w:tcPr>
            <w:tcW w:w="1540" w:type="dxa"/>
            <w:tcBorders>
              <w:top w:val="single" w:sz="12" w:space="0" w:color="auto"/>
              <w:left w:val="nil"/>
              <w:bottom w:val="nil"/>
              <w:right w:val="nil"/>
            </w:tcBorders>
            <w:vAlign w:val="center"/>
          </w:tcPr>
          <w:p w:rsidR="00694CD8" w:rsidRPr="00D07591" w:rsidRDefault="00694CD8" w:rsidP="002D52ED">
            <w:pPr>
              <w:spacing w:after="0" w:line="240" w:lineRule="auto"/>
              <w:jc w:val="center"/>
              <w:rPr>
                <w:color w:val="000000"/>
              </w:rPr>
            </w:pPr>
            <w:r w:rsidRPr="00D07591">
              <w:rPr>
                <w:color w:val="000000"/>
              </w:rPr>
              <w:t>změna zálohy</w:t>
            </w:r>
          </w:p>
        </w:tc>
        <w:tc>
          <w:tcPr>
            <w:tcW w:w="1540" w:type="dxa"/>
            <w:tcBorders>
              <w:top w:val="single" w:sz="12" w:space="0" w:color="auto"/>
              <w:left w:val="nil"/>
              <w:bottom w:val="nil"/>
              <w:right w:val="nil"/>
            </w:tcBorders>
            <w:vAlign w:val="center"/>
          </w:tcPr>
          <w:p w:rsidR="00694CD8" w:rsidRPr="00D07591" w:rsidRDefault="00694CD8" w:rsidP="002D52ED">
            <w:pPr>
              <w:spacing w:after="0" w:line="240" w:lineRule="auto"/>
              <w:jc w:val="center"/>
              <w:rPr>
                <w:color w:val="000000"/>
              </w:rPr>
            </w:pPr>
            <w:r w:rsidRPr="00D07591">
              <w:rPr>
                <w:color w:val="000000"/>
              </w:rPr>
              <w:t>budoucí záloha</w:t>
            </w:r>
          </w:p>
        </w:tc>
        <w:tc>
          <w:tcPr>
            <w:tcW w:w="1540" w:type="dxa"/>
            <w:tcBorders>
              <w:top w:val="single" w:sz="12" w:space="0" w:color="auto"/>
              <w:left w:val="nil"/>
              <w:bottom w:val="nil"/>
              <w:right w:val="nil"/>
            </w:tcBorders>
            <w:vAlign w:val="center"/>
          </w:tcPr>
          <w:p w:rsidR="00694CD8" w:rsidRPr="00D07591" w:rsidRDefault="00694CD8" w:rsidP="002D52ED">
            <w:pPr>
              <w:spacing w:after="0" w:line="240" w:lineRule="auto"/>
              <w:jc w:val="center"/>
              <w:rPr>
                <w:color w:val="000000"/>
              </w:rPr>
            </w:pPr>
            <w:r w:rsidRPr="00D07591">
              <w:rPr>
                <w:color w:val="000000"/>
              </w:rPr>
              <w:t>současný počet měsíců podn.</w:t>
            </w:r>
          </w:p>
        </w:tc>
      </w:tr>
      <w:tr w:rsidR="00694CD8" w:rsidRPr="00D9298C" w:rsidTr="00A30ED1">
        <w:trPr>
          <w:trHeight w:val="315"/>
        </w:trPr>
        <w:tc>
          <w:tcPr>
            <w:tcW w:w="940" w:type="dxa"/>
            <w:tcBorders>
              <w:top w:val="single" w:sz="12" w:space="0" w:color="auto"/>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w:t>
            </w:r>
          </w:p>
        </w:tc>
        <w:tc>
          <w:tcPr>
            <w:tcW w:w="1540" w:type="dxa"/>
            <w:tcBorders>
              <w:top w:val="single" w:sz="12" w:space="0" w:color="auto"/>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1 323</w:t>
            </w:r>
          </w:p>
        </w:tc>
        <w:tc>
          <w:tcPr>
            <w:tcW w:w="1540" w:type="dxa"/>
            <w:tcBorders>
              <w:top w:val="single" w:sz="12" w:space="0" w:color="auto"/>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-142</w:t>
            </w:r>
          </w:p>
        </w:tc>
        <w:tc>
          <w:tcPr>
            <w:tcW w:w="1540" w:type="dxa"/>
            <w:tcBorders>
              <w:top w:val="single" w:sz="12" w:space="0" w:color="auto"/>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1 181</w:t>
            </w:r>
          </w:p>
        </w:tc>
        <w:tc>
          <w:tcPr>
            <w:tcW w:w="1540" w:type="dxa"/>
            <w:tcBorders>
              <w:top w:val="single" w:sz="12" w:space="0" w:color="auto"/>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10,6</w:t>
            </w:r>
          </w:p>
        </w:tc>
      </w:tr>
      <w:tr w:rsidR="00694CD8" w:rsidRPr="00D9298C" w:rsidTr="00A30ED1">
        <w:trPr>
          <w:trHeight w:val="300"/>
        </w:trPr>
        <w:tc>
          <w:tcPr>
            <w:tcW w:w="9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2</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1 814</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-302</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1 513</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9,0</w:t>
            </w:r>
          </w:p>
        </w:tc>
      </w:tr>
      <w:tr w:rsidR="00694CD8" w:rsidRPr="00D9298C" w:rsidTr="00A30ED1">
        <w:trPr>
          <w:trHeight w:val="300"/>
        </w:trPr>
        <w:tc>
          <w:tcPr>
            <w:tcW w:w="9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3</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2 273</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-407</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1 866</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9,0</w:t>
            </w:r>
          </w:p>
        </w:tc>
      </w:tr>
      <w:tr w:rsidR="00694CD8" w:rsidRPr="00D9298C" w:rsidTr="00A30ED1">
        <w:trPr>
          <w:trHeight w:val="300"/>
        </w:trPr>
        <w:tc>
          <w:tcPr>
            <w:tcW w:w="9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4</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2 326</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-693</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1 633</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7,8</w:t>
            </w:r>
          </w:p>
        </w:tc>
      </w:tr>
      <w:tr w:rsidR="00694CD8" w:rsidRPr="00D9298C" w:rsidTr="00A30ED1">
        <w:trPr>
          <w:trHeight w:val="300"/>
        </w:trPr>
        <w:tc>
          <w:tcPr>
            <w:tcW w:w="9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5</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4 558</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-944</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3 613</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9,3</w:t>
            </w:r>
          </w:p>
        </w:tc>
      </w:tr>
      <w:tr w:rsidR="00694CD8" w:rsidRPr="00D9298C" w:rsidTr="00A30ED1">
        <w:trPr>
          <w:trHeight w:val="300"/>
        </w:trPr>
        <w:tc>
          <w:tcPr>
            <w:tcW w:w="9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6</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5 569</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-1 366</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4 203</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8,4</w:t>
            </w:r>
          </w:p>
        </w:tc>
      </w:tr>
      <w:tr w:rsidR="00694CD8" w:rsidRPr="00D9298C" w:rsidTr="00A30ED1">
        <w:trPr>
          <w:trHeight w:val="300"/>
        </w:trPr>
        <w:tc>
          <w:tcPr>
            <w:tcW w:w="9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7</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4 894</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-1 955</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2 939</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6,8</w:t>
            </w:r>
          </w:p>
        </w:tc>
      </w:tr>
      <w:tr w:rsidR="00694CD8" w:rsidRPr="00D9298C" w:rsidTr="00A30ED1">
        <w:trPr>
          <w:trHeight w:val="300"/>
        </w:trPr>
        <w:tc>
          <w:tcPr>
            <w:tcW w:w="9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8</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6 350</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-2 339</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4 011</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6,7</w:t>
            </w:r>
          </w:p>
        </w:tc>
      </w:tr>
      <w:tr w:rsidR="00694CD8" w:rsidRPr="00D9298C" w:rsidTr="00A30ED1">
        <w:trPr>
          <w:trHeight w:val="300"/>
        </w:trPr>
        <w:tc>
          <w:tcPr>
            <w:tcW w:w="9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9</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9 107</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-4 725</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4 382</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4,8</w:t>
            </w:r>
          </w:p>
        </w:tc>
      </w:tr>
      <w:tr w:rsidR="00694CD8" w:rsidRPr="00D9298C" w:rsidTr="00A30ED1">
        <w:trPr>
          <w:trHeight w:val="315"/>
        </w:trPr>
        <w:tc>
          <w:tcPr>
            <w:tcW w:w="94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10</w:t>
            </w:r>
          </w:p>
        </w:tc>
        <w:tc>
          <w:tcPr>
            <w:tcW w:w="154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24 854</w:t>
            </w:r>
          </w:p>
        </w:tc>
        <w:tc>
          <w:tcPr>
            <w:tcW w:w="154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-18 991</w:t>
            </w:r>
          </w:p>
        </w:tc>
        <w:tc>
          <w:tcPr>
            <w:tcW w:w="154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5 863</w:t>
            </w:r>
          </w:p>
        </w:tc>
        <w:tc>
          <w:tcPr>
            <w:tcW w:w="154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3,7</w:t>
            </w:r>
          </w:p>
        </w:tc>
      </w:tr>
      <w:tr w:rsidR="00694CD8" w:rsidRPr="00D9298C" w:rsidTr="00A30ED1">
        <w:trPr>
          <w:trHeight w:val="330"/>
        </w:trPr>
        <w:tc>
          <w:tcPr>
            <w:tcW w:w="94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Průměr</w:t>
            </w:r>
          </w:p>
        </w:tc>
        <w:tc>
          <w:tcPr>
            <w:tcW w:w="154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6 172</w:t>
            </w:r>
          </w:p>
        </w:tc>
        <w:tc>
          <w:tcPr>
            <w:tcW w:w="154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-2 918</w:t>
            </w:r>
          </w:p>
        </w:tc>
        <w:tc>
          <w:tcPr>
            <w:tcW w:w="154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3 254</w:t>
            </w:r>
          </w:p>
        </w:tc>
        <w:tc>
          <w:tcPr>
            <w:tcW w:w="154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 </w:t>
            </w:r>
          </w:p>
        </w:tc>
      </w:tr>
    </w:tbl>
    <w:p w:rsidR="00694CD8" w:rsidRPr="00D07591" w:rsidRDefault="00694CD8" w:rsidP="002D52ED">
      <w:pPr>
        <w:spacing w:after="120" w:line="240" w:lineRule="auto"/>
        <w:jc w:val="both"/>
      </w:pPr>
    </w:p>
    <w:p w:rsidR="00694CD8" w:rsidRPr="00D07591" w:rsidRDefault="00694CD8" w:rsidP="002D52ED">
      <w:pPr>
        <w:spacing w:after="120" w:line="240" w:lineRule="auto"/>
        <w:jc w:val="both"/>
      </w:pPr>
      <w:r w:rsidRPr="00D07591">
        <w:t>Tabulka 3.3 uvádí současnou výši záloh, jejich změnu a budoucí výši záloh pro zdravotní pojištění.</w:t>
      </w:r>
    </w:p>
    <w:p w:rsidR="00694CD8" w:rsidRPr="00D07591" w:rsidRDefault="00694CD8" w:rsidP="002D52ED">
      <w:pPr>
        <w:spacing w:after="120" w:line="240" w:lineRule="auto"/>
        <w:jc w:val="both"/>
      </w:pPr>
    </w:p>
    <w:p w:rsidR="00694CD8" w:rsidRPr="00D07591" w:rsidRDefault="00694CD8" w:rsidP="002D52ED">
      <w:pPr>
        <w:pStyle w:val="Caption"/>
        <w:keepNext/>
      </w:pPr>
      <w:r w:rsidRPr="00D07591">
        <w:t>Tabulka 3.3: Výše současné zálohy, její změny a budoucí zálohy na zdravotní pojištění</w:t>
      </w:r>
    </w:p>
    <w:tbl>
      <w:tblPr>
        <w:tblW w:w="7100" w:type="dxa"/>
        <w:tblInd w:w="55" w:type="dxa"/>
        <w:tblCellMar>
          <w:left w:w="70" w:type="dxa"/>
          <w:right w:w="70" w:type="dxa"/>
        </w:tblCellMar>
        <w:tblLook w:val="00A0"/>
      </w:tblPr>
      <w:tblGrid>
        <w:gridCol w:w="940"/>
        <w:gridCol w:w="1540"/>
        <w:gridCol w:w="1540"/>
        <w:gridCol w:w="1540"/>
        <w:gridCol w:w="1540"/>
      </w:tblGrid>
      <w:tr w:rsidR="00694CD8" w:rsidRPr="00D9298C" w:rsidTr="00A30ED1">
        <w:trPr>
          <w:trHeight w:val="630"/>
        </w:trPr>
        <w:tc>
          <w:tcPr>
            <w:tcW w:w="940" w:type="dxa"/>
            <w:tcBorders>
              <w:top w:val="single" w:sz="12" w:space="0" w:color="auto"/>
              <w:left w:val="nil"/>
              <w:bottom w:val="nil"/>
              <w:right w:val="nil"/>
            </w:tcBorders>
            <w:vAlign w:val="center"/>
          </w:tcPr>
          <w:p w:rsidR="00694CD8" w:rsidRPr="00D07591" w:rsidRDefault="00694CD8" w:rsidP="002D52ED">
            <w:pPr>
              <w:spacing w:after="0" w:line="240" w:lineRule="auto"/>
              <w:jc w:val="center"/>
              <w:rPr>
                <w:color w:val="000000"/>
              </w:rPr>
            </w:pPr>
            <w:r w:rsidRPr="00D07591">
              <w:rPr>
                <w:color w:val="000000"/>
              </w:rPr>
              <w:t>skupina</w:t>
            </w:r>
          </w:p>
        </w:tc>
        <w:tc>
          <w:tcPr>
            <w:tcW w:w="1540" w:type="dxa"/>
            <w:tcBorders>
              <w:top w:val="single" w:sz="12" w:space="0" w:color="auto"/>
              <w:left w:val="nil"/>
              <w:bottom w:val="nil"/>
              <w:right w:val="nil"/>
            </w:tcBorders>
            <w:vAlign w:val="center"/>
          </w:tcPr>
          <w:p w:rsidR="00694CD8" w:rsidRPr="00D07591" w:rsidRDefault="00694CD8" w:rsidP="002D52ED">
            <w:pPr>
              <w:spacing w:after="0" w:line="240" w:lineRule="auto"/>
              <w:jc w:val="center"/>
              <w:rPr>
                <w:color w:val="000000"/>
              </w:rPr>
            </w:pPr>
            <w:r w:rsidRPr="00D07591">
              <w:rPr>
                <w:color w:val="000000"/>
              </w:rPr>
              <w:t>současná záloha</w:t>
            </w:r>
          </w:p>
        </w:tc>
        <w:tc>
          <w:tcPr>
            <w:tcW w:w="1540" w:type="dxa"/>
            <w:tcBorders>
              <w:top w:val="single" w:sz="12" w:space="0" w:color="auto"/>
              <w:left w:val="nil"/>
              <w:bottom w:val="nil"/>
              <w:right w:val="nil"/>
            </w:tcBorders>
            <w:vAlign w:val="center"/>
          </w:tcPr>
          <w:p w:rsidR="00694CD8" w:rsidRPr="00D07591" w:rsidRDefault="00694CD8" w:rsidP="002D52ED">
            <w:pPr>
              <w:spacing w:after="0" w:line="240" w:lineRule="auto"/>
              <w:jc w:val="center"/>
              <w:rPr>
                <w:color w:val="000000"/>
              </w:rPr>
            </w:pPr>
            <w:r w:rsidRPr="00D07591">
              <w:rPr>
                <w:color w:val="000000"/>
              </w:rPr>
              <w:t>změna zálohy</w:t>
            </w:r>
          </w:p>
        </w:tc>
        <w:tc>
          <w:tcPr>
            <w:tcW w:w="1540" w:type="dxa"/>
            <w:tcBorders>
              <w:top w:val="single" w:sz="12" w:space="0" w:color="auto"/>
              <w:left w:val="nil"/>
              <w:bottom w:val="nil"/>
              <w:right w:val="nil"/>
            </w:tcBorders>
            <w:vAlign w:val="center"/>
          </w:tcPr>
          <w:p w:rsidR="00694CD8" w:rsidRPr="00D07591" w:rsidRDefault="00694CD8" w:rsidP="002D52ED">
            <w:pPr>
              <w:spacing w:after="0" w:line="240" w:lineRule="auto"/>
              <w:jc w:val="center"/>
              <w:rPr>
                <w:color w:val="000000"/>
              </w:rPr>
            </w:pPr>
            <w:r w:rsidRPr="00D07591">
              <w:rPr>
                <w:color w:val="000000"/>
              </w:rPr>
              <w:t>budoucí záloha</w:t>
            </w:r>
          </w:p>
        </w:tc>
        <w:tc>
          <w:tcPr>
            <w:tcW w:w="1540" w:type="dxa"/>
            <w:tcBorders>
              <w:top w:val="single" w:sz="12" w:space="0" w:color="auto"/>
              <w:left w:val="nil"/>
              <w:bottom w:val="nil"/>
              <w:right w:val="nil"/>
            </w:tcBorders>
            <w:vAlign w:val="center"/>
          </w:tcPr>
          <w:p w:rsidR="00694CD8" w:rsidRPr="00D07591" w:rsidRDefault="00694CD8" w:rsidP="002D52ED">
            <w:pPr>
              <w:spacing w:after="0" w:line="240" w:lineRule="auto"/>
              <w:jc w:val="center"/>
              <w:rPr>
                <w:color w:val="000000"/>
              </w:rPr>
            </w:pPr>
            <w:r w:rsidRPr="00D07591">
              <w:rPr>
                <w:color w:val="000000"/>
              </w:rPr>
              <w:t>současný počet měsíců podn.</w:t>
            </w:r>
          </w:p>
        </w:tc>
      </w:tr>
      <w:tr w:rsidR="00694CD8" w:rsidRPr="00D9298C" w:rsidTr="00A30ED1">
        <w:trPr>
          <w:trHeight w:val="315"/>
        </w:trPr>
        <w:tc>
          <w:tcPr>
            <w:tcW w:w="940" w:type="dxa"/>
            <w:tcBorders>
              <w:top w:val="single" w:sz="12" w:space="0" w:color="auto"/>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w:t>
            </w:r>
          </w:p>
        </w:tc>
        <w:tc>
          <w:tcPr>
            <w:tcW w:w="1540" w:type="dxa"/>
            <w:tcBorders>
              <w:top w:val="single" w:sz="12" w:space="0" w:color="auto"/>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795</w:t>
            </w:r>
          </w:p>
        </w:tc>
        <w:tc>
          <w:tcPr>
            <w:tcW w:w="1540" w:type="dxa"/>
            <w:tcBorders>
              <w:top w:val="single" w:sz="12" w:space="0" w:color="auto"/>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-93</w:t>
            </w:r>
          </w:p>
        </w:tc>
        <w:tc>
          <w:tcPr>
            <w:tcW w:w="1540" w:type="dxa"/>
            <w:tcBorders>
              <w:top w:val="single" w:sz="12" w:space="0" w:color="auto"/>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702</w:t>
            </w:r>
          </w:p>
        </w:tc>
        <w:tc>
          <w:tcPr>
            <w:tcW w:w="1540" w:type="dxa"/>
            <w:tcBorders>
              <w:top w:val="single" w:sz="12" w:space="0" w:color="auto"/>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10,6</w:t>
            </w:r>
          </w:p>
        </w:tc>
      </w:tr>
      <w:tr w:rsidR="00694CD8" w:rsidRPr="00D9298C" w:rsidTr="00A30ED1">
        <w:trPr>
          <w:trHeight w:val="300"/>
        </w:trPr>
        <w:tc>
          <w:tcPr>
            <w:tcW w:w="9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2</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1 328</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-164</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1 164</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10,2</w:t>
            </w:r>
          </w:p>
        </w:tc>
      </w:tr>
      <w:tr w:rsidR="00694CD8" w:rsidRPr="00D9298C" w:rsidTr="00A30ED1">
        <w:trPr>
          <w:trHeight w:val="300"/>
        </w:trPr>
        <w:tc>
          <w:tcPr>
            <w:tcW w:w="9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3</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795</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-246</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549</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8,3</w:t>
            </w:r>
          </w:p>
        </w:tc>
      </w:tr>
      <w:tr w:rsidR="00694CD8" w:rsidRPr="00D9298C" w:rsidTr="00A30ED1">
        <w:trPr>
          <w:trHeight w:val="300"/>
        </w:trPr>
        <w:tc>
          <w:tcPr>
            <w:tcW w:w="9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4</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1 003</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-293</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710</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8,1</w:t>
            </w:r>
          </w:p>
        </w:tc>
      </w:tr>
      <w:tr w:rsidR="00694CD8" w:rsidRPr="00D9298C" w:rsidTr="00A30ED1">
        <w:trPr>
          <w:trHeight w:val="300"/>
        </w:trPr>
        <w:tc>
          <w:tcPr>
            <w:tcW w:w="9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5</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1 270</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-382</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888</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7,6</w:t>
            </w:r>
          </w:p>
        </w:tc>
      </w:tr>
      <w:tr w:rsidR="00694CD8" w:rsidRPr="00D9298C" w:rsidTr="00A30ED1">
        <w:trPr>
          <w:trHeight w:val="300"/>
        </w:trPr>
        <w:tc>
          <w:tcPr>
            <w:tcW w:w="9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6</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2 603</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-594</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2 008</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8,1</w:t>
            </w:r>
          </w:p>
        </w:tc>
      </w:tr>
      <w:tr w:rsidR="00694CD8" w:rsidRPr="00D9298C" w:rsidTr="00A30ED1">
        <w:trPr>
          <w:trHeight w:val="300"/>
        </w:trPr>
        <w:tc>
          <w:tcPr>
            <w:tcW w:w="9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7</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2 421</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-885</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1 536</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7,3</w:t>
            </w:r>
          </w:p>
        </w:tc>
      </w:tr>
      <w:tr w:rsidR="00694CD8" w:rsidRPr="00D9298C" w:rsidTr="00A30ED1">
        <w:trPr>
          <w:trHeight w:val="300"/>
        </w:trPr>
        <w:tc>
          <w:tcPr>
            <w:tcW w:w="9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8</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2 936</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-1 082</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1 854</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6,7</w:t>
            </w:r>
          </w:p>
        </w:tc>
      </w:tr>
      <w:tr w:rsidR="00694CD8" w:rsidRPr="00D9298C" w:rsidTr="00A30ED1">
        <w:trPr>
          <w:trHeight w:val="300"/>
        </w:trPr>
        <w:tc>
          <w:tcPr>
            <w:tcW w:w="9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9</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4 210</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-2 184</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2 026</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4,8</w:t>
            </w:r>
          </w:p>
        </w:tc>
      </w:tr>
      <w:tr w:rsidR="00694CD8" w:rsidRPr="00D9298C" w:rsidTr="00A30ED1">
        <w:trPr>
          <w:trHeight w:val="315"/>
        </w:trPr>
        <w:tc>
          <w:tcPr>
            <w:tcW w:w="94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10</w:t>
            </w:r>
          </w:p>
        </w:tc>
        <w:tc>
          <w:tcPr>
            <w:tcW w:w="154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11 491</w:t>
            </w:r>
          </w:p>
        </w:tc>
        <w:tc>
          <w:tcPr>
            <w:tcW w:w="154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-8 780</w:t>
            </w:r>
          </w:p>
        </w:tc>
        <w:tc>
          <w:tcPr>
            <w:tcW w:w="154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2 711</w:t>
            </w:r>
          </w:p>
        </w:tc>
        <w:tc>
          <w:tcPr>
            <w:tcW w:w="154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3,7</w:t>
            </w:r>
          </w:p>
        </w:tc>
      </w:tr>
      <w:tr w:rsidR="00694CD8" w:rsidRPr="00D9298C" w:rsidTr="00A30ED1">
        <w:trPr>
          <w:trHeight w:val="330"/>
        </w:trPr>
        <w:tc>
          <w:tcPr>
            <w:tcW w:w="94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Průměr</w:t>
            </w:r>
          </w:p>
        </w:tc>
        <w:tc>
          <w:tcPr>
            <w:tcW w:w="154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2 846</w:t>
            </w:r>
          </w:p>
        </w:tc>
        <w:tc>
          <w:tcPr>
            <w:tcW w:w="154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-1 346</w:t>
            </w:r>
          </w:p>
        </w:tc>
        <w:tc>
          <w:tcPr>
            <w:tcW w:w="154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1 501</w:t>
            </w:r>
          </w:p>
        </w:tc>
        <w:tc>
          <w:tcPr>
            <w:tcW w:w="154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 </w:t>
            </w:r>
          </w:p>
        </w:tc>
      </w:tr>
    </w:tbl>
    <w:p w:rsidR="00694CD8" w:rsidRPr="00D07591" w:rsidRDefault="00694CD8" w:rsidP="002D52ED">
      <w:pPr>
        <w:spacing w:after="120" w:line="240" w:lineRule="auto"/>
        <w:jc w:val="both"/>
      </w:pPr>
    </w:p>
    <w:p w:rsidR="00694CD8" w:rsidRPr="00D07591" w:rsidRDefault="00694CD8" w:rsidP="002D52ED">
      <w:pPr>
        <w:spacing w:after="120" w:line="240" w:lineRule="auto"/>
        <w:jc w:val="both"/>
      </w:pPr>
      <w:r w:rsidRPr="00D07591">
        <w:t>Konečně v tabulce 3.4 uvádíme hodnoty současných záloh, jejich změn a budoucích záloh pro celkové pojistné.</w:t>
      </w:r>
    </w:p>
    <w:p w:rsidR="00694CD8" w:rsidRPr="00D07591" w:rsidRDefault="00694CD8" w:rsidP="002D52ED">
      <w:pPr>
        <w:spacing w:after="120" w:line="240" w:lineRule="auto"/>
        <w:jc w:val="both"/>
      </w:pPr>
    </w:p>
    <w:p w:rsidR="00694CD8" w:rsidRPr="00D07591" w:rsidRDefault="00694CD8" w:rsidP="002D52ED">
      <w:pPr>
        <w:spacing w:after="120" w:line="240" w:lineRule="auto"/>
        <w:jc w:val="both"/>
      </w:pPr>
    </w:p>
    <w:p w:rsidR="00694CD8" w:rsidRPr="00D07591" w:rsidRDefault="00694CD8" w:rsidP="002D52ED">
      <w:pPr>
        <w:spacing w:after="120" w:line="240" w:lineRule="auto"/>
        <w:jc w:val="both"/>
      </w:pPr>
    </w:p>
    <w:p w:rsidR="00694CD8" w:rsidRPr="00D07591" w:rsidRDefault="00694CD8" w:rsidP="002D52ED">
      <w:pPr>
        <w:spacing w:after="120" w:line="240" w:lineRule="auto"/>
        <w:jc w:val="both"/>
      </w:pPr>
    </w:p>
    <w:p w:rsidR="00694CD8" w:rsidRPr="00D07591" w:rsidRDefault="00694CD8" w:rsidP="002D52ED">
      <w:pPr>
        <w:spacing w:after="120" w:line="240" w:lineRule="auto"/>
        <w:jc w:val="both"/>
      </w:pPr>
    </w:p>
    <w:p w:rsidR="00694CD8" w:rsidRPr="00D07591" w:rsidRDefault="00694CD8" w:rsidP="002D52ED">
      <w:pPr>
        <w:pStyle w:val="Caption"/>
        <w:keepNext/>
      </w:pPr>
      <w:r w:rsidRPr="00D07591">
        <w:t>Tabulka 3.4: Výše současné zálohy, její změny a budoucí zálohy na sociální a zdravotní pojištění</w:t>
      </w:r>
    </w:p>
    <w:tbl>
      <w:tblPr>
        <w:tblW w:w="7100" w:type="dxa"/>
        <w:tblInd w:w="55" w:type="dxa"/>
        <w:tblCellMar>
          <w:left w:w="70" w:type="dxa"/>
          <w:right w:w="70" w:type="dxa"/>
        </w:tblCellMar>
        <w:tblLook w:val="00A0"/>
      </w:tblPr>
      <w:tblGrid>
        <w:gridCol w:w="940"/>
        <w:gridCol w:w="1540"/>
        <w:gridCol w:w="1540"/>
        <w:gridCol w:w="1540"/>
        <w:gridCol w:w="1540"/>
      </w:tblGrid>
      <w:tr w:rsidR="00694CD8" w:rsidRPr="00D9298C" w:rsidTr="00A30ED1">
        <w:trPr>
          <w:trHeight w:val="630"/>
        </w:trPr>
        <w:tc>
          <w:tcPr>
            <w:tcW w:w="940" w:type="dxa"/>
            <w:tcBorders>
              <w:top w:val="single" w:sz="12" w:space="0" w:color="auto"/>
              <w:left w:val="nil"/>
              <w:bottom w:val="nil"/>
              <w:right w:val="nil"/>
            </w:tcBorders>
            <w:vAlign w:val="center"/>
          </w:tcPr>
          <w:p w:rsidR="00694CD8" w:rsidRPr="00D07591" w:rsidRDefault="00694CD8" w:rsidP="002D52ED">
            <w:pPr>
              <w:spacing w:after="0" w:line="240" w:lineRule="auto"/>
              <w:jc w:val="center"/>
              <w:rPr>
                <w:color w:val="000000"/>
              </w:rPr>
            </w:pPr>
            <w:r w:rsidRPr="00D07591">
              <w:rPr>
                <w:color w:val="000000"/>
              </w:rPr>
              <w:t>skupina</w:t>
            </w:r>
          </w:p>
        </w:tc>
        <w:tc>
          <w:tcPr>
            <w:tcW w:w="1540" w:type="dxa"/>
            <w:tcBorders>
              <w:top w:val="single" w:sz="12" w:space="0" w:color="auto"/>
              <w:left w:val="nil"/>
              <w:bottom w:val="nil"/>
              <w:right w:val="nil"/>
            </w:tcBorders>
            <w:vAlign w:val="center"/>
          </w:tcPr>
          <w:p w:rsidR="00694CD8" w:rsidRPr="00D07591" w:rsidRDefault="00694CD8" w:rsidP="002D52ED">
            <w:pPr>
              <w:spacing w:after="0" w:line="240" w:lineRule="auto"/>
              <w:jc w:val="center"/>
              <w:rPr>
                <w:color w:val="000000"/>
              </w:rPr>
            </w:pPr>
            <w:r w:rsidRPr="00D07591">
              <w:rPr>
                <w:color w:val="000000"/>
              </w:rPr>
              <w:t>současná záloha</w:t>
            </w:r>
          </w:p>
        </w:tc>
        <w:tc>
          <w:tcPr>
            <w:tcW w:w="1540" w:type="dxa"/>
            <w:tcBorders>
              <w:top w:val="single" w:sz="12" w:space="0" w:color="auto"/>
              <w:left w:val="nil"/>
              <w:bottom w:val="nil"/>
              <w:right w:val="nil"/>
            </w:tcBorders>
            <w:vAlign w:val="center"/>
          </w:tcPr>
          <w:p w:rsidR="00694CD8" w:rsidRPr="00D07591" w:rsidRDefault="00694CD8" w:rsidP="002D52ED">
            <w:pPr>
              <w:spacing w:after="0" w:line="240" w:lineRule="auto"/>
              <w:jc w:val="center"/>
              <w:rPr>
                <w:color w:val="000000"/>
              </w:rPr>
            </w:pPr>
            <w:r w:rsidRPr="00D07591">
              <w:rPr>
                <w:color w:val="000000"/>
              </w:rPr>
              <w:t>změna zálohy</w:t>
            </w:r>
          </w:p>
        </w:tc>
        <w:tc>
          <w:tcPr>
            <w:tcW w:w="1540" w:type="dxa"/>
            <w:tcBorders>
              <w:top w:val="single" w:sz="12" w:space="0" w:color="auto"/>
              <w:left w:val="nil"/>
              <w:bottom w:val="nil"/>
              <w:right w:val="nil"/>
            </w:tcBorders>
            <w:vAlign w:val="center"/>
          </w:tcPr>
          <w:p w:rsidR="00694CD8" w:rsidRPr="00D07591" w:rsidRDefault="00694CD8" w:rsidP="002D52ED">
            <w:pPr>
              <w:spacing w:after="0" w:line="240" w:lineRule="auto"/>
              <w:jc w:val="center"/>
              <w:rPr>
                <w:color w:val="000000"/>
              </w:rPr>
            </w:pPr>
            <w:r w:rsidRPr="00D07591">
              <w:rPr>
                <w:color w:val="000000"/>
              </w:rPr>
              <w:t>budoucí záloha</w:t>
            </w:r>
          </w:p>
        </w:tc>
        <w:tc>
          <w:tcPr>
            <w:tcW w:w="1540" w:type="dxa"/>
            <w:tcBorders>
              <w:top w:val="single" w:sz="12" w:space="0" w:color="auto"/>
              <w:left w:val="nil"/>
              <w:bottom w:val="nil"/>
              <w:right w:val="nil"/>
            </w:tcBorders>
            <w:vAlign w:val="center"/>
          </w:tcPr>
          <w:p w:rsidR="00694CD8" w:rsidRPr="00D07591" w:rsidRDefault="00694CD8" w:rsidP="002D52ED">
            <w:pPr>
              <w:spacing w:after="0" w:line="240" w:lineRule="auto"/>
              <w:jc w:val="center"/>
              <w:rPr>
                <w:color w:val="000000"/>
              </w:rPr>
            </w:pPr>
            <w:r w:rsidRPr="00D07591">
              <w:rPr>
                <w:color w:val="000000"/>
              </w:rPr>
              <w:t>současný počet měsíců podn.</w:t>
            </w:r>
          </w:p>
        </w:tc>
      </w:tr>
      <w:tr w:rsidR="00694CD8" w:rsidRPr="00D9298C" w:rsidTr="00A30ED1">
        <w:trPr>
          <w:trHeight w:val="315"/>
        </w:trPr>
        <w:tc>
          <w:tcPr>
            <w:tcW w:w="940" w:type="dxa"/>
            <w:tcBorders>
              <w:top w:val="single" w:sz="12" w:space="0" w:color="auto"/>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w:t>
            </w:r>
          </w:p>
        </w:tc>
        <w:tc>
          <w:tcPr>
            <w:tcW w:w="1540" w:type="dxa"/>
            <w:tcBorders>
              <w:top w:val="single" w:sz="12" w:space="0" w:color="auto"/>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2 118</w:t>
            </w:r>
          </w:p>
        </w:tc>
        <w:tc>
          <w:tcPr>
            <w:tcW w:w="1540" w:type="dxa"/>
            <w:tcBorders>
              <w:top w:val="single" w:sz="12" w:space="0" w:color="auto"/>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-238</w:t>
            </w:r>
          </w:p>
        </w:tc>
        <w:tc>
          <w:tcPr>
            <w:tcW w:w="1540" w:type="dxa"/>
            <w:tcBorders>
              <w:top w:val="single" w:sz="12" w:space="0" w:color="auto"/>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1 880</w:t>
            </w:r>
          </w:p>
        </w:tc>
        <w:tc>
          <w:tcPr>
            <w:tcW w:w="1540" w:type="dxa"/>
            <w:tcBorders>
              <w:top w:val="single" w:sz="12" w:space="0" w:color="auto"/>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10,6</w:t>
            </w:r>
          </w:p>
        </w:tc>
      </w:tr>
      <w:tr w:rsidR="00694CD8" w:rsidRPr="00D9298C" w:rsidTr="00A30ED1">
        <w:trPr>
          <w:trHeight w:val="300"/>
        </w:trPr>
        <w:tc>
          <w:tcPr>
            <w:tcW w:w="9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2</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3 719</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-501</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3 218</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9,8</w:t>
            </w:r>
          </w:p>
        </w:tc>
      </w:tr>
      <w:tr w:rsidR="00694CD8" w:rsidRPr="00D9298C" w:rsidTr="00A30ED1">
        <w:trPr>
          <w:trHeight w:val="300"/>
        </w:trPr>
        <w:tc>
          <w:tcPr>
            <w:tcW w:w="9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3</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2 694</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-621</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2 073</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8,6</w:t>
            </w:r>
          </w:p>
        </w:tc>
      </w:tr>
      <w:tr w:rsidR="00694CD8" w:rsidRPr="00D9298C" w:rsidTr="00A30ED1">
        <w:trPr>
          <w:trHeight w:val="300"/>
        </w:trPr>
        <w:tc>
          <w:tcPr>
            <w:tcW w:w="9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4</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3 474</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-1 000</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2 473</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8,1</w:t>
            </w:r>
          </w:p>
        </w:tc>
      </w:tr>
      <w:tr w:rsidR="00694CD8" w:rsidRPr="00D9298C" w:rsidTr="00A30ED1">
        <w:trPr>
          <w:trHeight w:val="300"/>
        </w:trPr>
        <w:tc>
          <w:tcPr>
            <w:tcW w:w="9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5</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6 026</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-1 350</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4 676</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8,3</w:t>
            </w:r>
          </w:p>
        </w:tc>
      </w:tr>
      <w:tr w:rsidR="00694CD8" w:rsidRPr="00D9298C" w:rsidTr="00A30ED1">
        <w:trPr>
          <w:trHeight w:val="300"/>
        </w:trPr>
        <w:tc>
          <w:tcPr>
            <w:tcW w:w="9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6</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7 988</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-1 925</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6 063</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8,4</w:t>
            </w:r>
          </w:p>
        </w:tc>
      </w:tr>
      <w:tr w:rsidR="00694CD8" w:rsidRPr="00D9298C" w:rsidTr="00A30ED1">
        <w:trPr>
          <w:trHeight w:val="300"/>
        </w:trPr>
        <w:tc>
          <w:tcPr>
            <w:tcW w:w="9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7</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7 097</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-2 819</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4 278</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6,8</w:t>
            </w:r>
          </w:p>
        </w:tc>
      </w:tr>
      <w:tr w:rsidR="00694CD8" w:rsidRPr="00D9298C" w:rsidTr="00A30ED1">
        <w:trPr>
          <w:trHeight w:val="300"/>
        </w:trPr>
        <w:tc>
          <w:tcPr>
            <w:tcW w:w="9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8</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9 286</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-3 421</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5 865</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6,7</w:t>
            </w:r>
          </w:p>
        </w:tc>
      </w:tr>
      <w:tr w:rsidR="00694CD8" w:rsidRPr="00D9298C" w:rsidTr="00A30ED1">
        <w:trPr>
          <w:trHeight w:val="300"/>
        </w:trPr>
        <w:tc>
          <w:tcPr>
            <w:tcW w:w="9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9</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13 318</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-6 909</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6 408</w:t>
            </w:r>
          </w:p>
        </w:tc>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4,8</w:t>
            </w:r>
          </w:p>
        </w:tc>
      </w:tr>
      <w:tr w:rsidR="00694CD8" w:rsidRPr="00D9298C" w:rsidTr="00A30ED1">
        <w:trPr>
          <w:trHeight w:val="315"/>
        </w:trPr>
        <w:tc>
          <w:tcPr>
            <w:tcW w:w="94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10</w:t>
            </w:r>
          </w:p>
        </w:tc>
        <w:tc>
          <w:tcPr>
            <w:tcW w:w="154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36 345</w:t>
            </w:r>
          </w:p>
        </w:tc>
        <w:tc>
          <w:tcPr>
            <w:tcW w:w="154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-27 771</w:t>
            </w:r>
          </w:p>
        </w:tc>
        <w:tc>
          <w:tcPr>
            <w:tcW w:w="154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8 574</w:t>
            </w:r>
          </w:p>
        </w:tc>
        <w:tc>
          <w:tcPr>
            <w:tcW w:w="154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3,7</w:t>
            </w:r>
          </w:p>
        </w:tc>
      </w:tr>
      <w:tr w:rsidR="00694CD8" w:rsidRPr="00D9298C" w:rsidTr="00A30ED1">
        <w:trPr>
          <w:trHeight w:val="330"/>
        </w:trPr>
        <w:tc>
          <w:tcPr>
            <w:tcW w:w="94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Průměr</w:t>
            </w:r>
          </w:p>
        </w:tc>
        <w:tc>
          <w:tcPr>
            <w:tcW w:w="154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9 018</w:t>
            </w:r>
          </w:p>
        </w:tc>
        <w:tc>
          <w:tcPr>
            <w:tcW w:w="154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-4 264</w:t>
            </w:r>
          </w:p>
        </w:tc>
        <w:tc>
          <w:tcPr>
            <w:tcW w:w="154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4 754</w:t>
            </w:r>
          </w:p>
        </w:tc>
        <w:tc>
          <w:tcPr>
            <w:tcW w:w="154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 </w:t>
            </w:r>
          </w:p>
        </w:tc>
      </w:tr>
    </w:tbl>
    <w:p w:rsidR="00694CD8" w:rsidRPr="00D07591" w:rsidRDefault="00694CD8" w:rsidP="002D52ED">
      <w:pPr>
        <w:spacing w:after="120" w:line="240" w:lineRule="auto"/>
        <w:jc w:val="both"/>
      </w:pPr>
    </w:p>
    <w:p w:rsidR="00694CD8" w:rsidRPr="00D07591" w:rsidRDefault="00694CD8" w:rsidP="002D52ED">
      <w:pPr>
        <w:spacing w:after="120" w:line="240" w:lineRule="auto"/>
        <w:jc w:val="both"/>
      </w:pPr>
      <w:r w:rsidRPr="00D07591">
        <w:t xml:space="preserve">Tabulky ukazují, že pro přibližně 40 % samostatně výdělečných osob, kterých se změna týká (více než 23 tisíc OSVČ) se výše zálohy sníží na polovinu nebo více. V absolutních hodnotách se výše zálohy sníží alespoň o 1000 korun pro 70 %, o 5 000 korun pro více jak 20 %. Pro 10 % s nejvyšší změnou (téměř 6 tisíc osob) pak bude průměrná změna mínus 27 771Kč. </w:t>
      </w:r>
    </w:p>
    <w:p w:rsidR="00694CD8" w:rsidRPr="00D07591" w:rsidRDefault="00694CD8" w:rsidP="002D52ED">
      <w:pPr>
        <w:spacing w:after="120" w:line="240" w:lineRule="auto"/>
        <w:jc w:val="both"/>
      </w:pPr>
      <w:r w:rsidRPr="00D07591">
        <w:t>Pro změnu výpočtu záloh hovoří, pomineme-li konzistenci všech výpočtů na roční bázi, i následující argumenty: 1) příjem samostatně výdělečných osob v prvních měsících podnikání může být relativně volatilní a tím i špatným ukazatelem budoucích příjmů a pojistného, 2) jde o úlevu a tím i podporu pro nově vzniklé OSVČ v podobě možného podhodnocení záloh po dobu jednoho roku.</w:t>
      </w:r>
    </w:p>
    <w:p w:rsidR="00694CD8" w:rsidRPr="00D07591" w:rsidRDefault="00694CD8" w:rsidP="002D52ED">
      <w:pPr>
        <w:spacing w:after="120" w:line="240" w:lineRule="auto"/>
        <w:jc w:val="both"/>
      </w:pPr>
    </w:p>
    <w:p w:rsidR="00694CD8" w:rsidRPr="00D07591" w:rsidRDefault="00694CD8" w:rsidP="002D52ED">
      <w:pPr>
        <w:spacing w:after="120" w:line="240" w:lineRule="auto"/>
        <w:jc w:val="both"/>
        <w:rPr>
          <w:b/>
          <w:sz w:val="24"/>
          <w:szCs w:val="24"/>
        </w:rPr>
      </w:pPr>
      <w:r w:rsidRPr="00D07591">
        <w:rPr>
          <w:b/>
          <w:sz w:val="24"/>
          <w:szCs w:val="24"/>
        </w:rPr>
        <w:t>4. Změna výpočtu minimálního základu zdravotního pojištění</w:t>
      </w:r>
    </w:p>
    <w:p w:rsidR="00694CD8" w:rsidRPr="00D07591" w:rsidRDefault="00694CD8" w:rsidP="002D52ED">
      <w:pPr>
        <w:spacing w:after="120" w:line="240" w:lineRule="auto"/>
        <w:jc w:val="both"/>
      </w:pPr>
      <w:r w:rsidRPr="00D07591">
        <w:t xml:space="preserve">Minimální základ zdravotního pojištění bude dle návrhu počítán na denní, namísto měsíční bázi. Tato změna zvýší pojistné na zdravotní pojištění u osob, pro které 1) se přestává uplatňovat minimální základ zdravotního pojištění v průběhu měsíce (nikoli na jeho konci) a zároveň 2) jejich základ zdravotního pojištění je nižší než dle návrhu počítaný minimální základ na denní bázi. </w:t>
      </w:r>
    </w:p>
    <w:p w:rsidR="00694CD8" w:rsidRPr="00D07591" w:rsidRDefault="00694CD8" w:rsidP="002D52ED">
      <w:pPr>
        <w:spacing w:after="120" w:line="240" w:lineRule="auto"/>
        <w:jc w:val="both"/>
      </w:pPr>
      <w:r w:rsidRPr="00D07591">
        <w:t xml:space="preserve">V limitním případě by se minimální základ pojistného u osob, na něž se část roku nevztahoval minimální základ zdravotního pojištění, zvýšil o (počet dnů v měsíci-1)/počet dnů v měsíci*3.2*8 000. K tomuto zvýšení by došlo, pokud by se na jednotlivce nevztahovat minimální základ pouze jeden den z měsíce. Pokud by se na jednotlivce nevztahovat minimální základ v polovině měsíce, pak by se minimální základ zvýšil o 1/2*počet dnů v měsíci/počet dnů v měsíci*3.2*8 000. </w:t>
      </w:r>
    </w:p>
    <w:p w:rsidR="00694CD8" w:rsidRPr="00D07591" w:rsidRDefault="00694CD8" w:rsidP="002D52ED">
      <w:pPr>
        <w:spacing w:after="120" w:line="240" w:lineRule="auto"/>
        <w:jc w:val="both"/>
      </w:pPr>
      <w:r w:rsidRPr="00D07591">
        <w:t xml:space="preserve">Veškeré odhady nárůstu pojistného na zdravotní pojištění v důsledku výpočtu minimálního základu zdravotního pojištění na denní bázi jsou komplikovány faktem, že databáze SILC i jiné zdroje pracují s měsíci, ne dny. Z toho důvodu prezentujeme v tabulce 4.1 nárůsty zdravotního pojištění pro 4 varianty rozložení pravděpodobnosti vymanění se uplatňování minimálního základu během měsíce. V prvním řádku jsou pro varianty 1-4 pravděpodobnosti, že se minimální základ nebude na jednotlivce uplatňovat v ¼ měsíce, v druhém pak pravděpodobnosti, že se minimální základ nebude na jednotlivce uplatňovat v ½ měsíce atd. Ve všech variantách předpokládáme, že nejvíce lidí odchází ze zaměstnání na přelomu měsíce, a tím se na ně i minimální základ přestává vztahovat na přelomu měsíce.  </w:t>
      </w:r>
    </w:p>
    <w:p w:rsidR="00694CD8" w:rsidRPr="00D07591" w:rsidRDefault="00694CD8" w:rsidP="002D52ED">
      <w:pPr>
        <w:spacing w:after="120" w:line="240" w:lineRule="auto"/>
        <w:jc w:val="both"/>
      </w:pPr>
    </w:p>
    <w:p w:rsidR="00694CD8" w:rsidRPr="006E48A9" w:rsidRDefault="00694CD8" w:rsidP="002D52ED">
      <w:pPr>
        <w:pStyle w:val="Caption"/>
        <w:keepNext/>
      </w:pPr>
      <w:r w:rsidRPr="006E48A9">
        <w:t>Tabulka 4.1. Nárůst zdravotního pojistné pro 4 varianty</w:t>
      </w:r>
    </w:p>
    <w:tbl>
      <w:tblPr>
        <w:tblW w:w="9540" w:type="dxa"/>
        <w:tblInd w:w="55" w:type="dxa"/>
        <w:tblCellMar>
          <w:left w:w="70" w:type="dxa"/>
          <w:right w:w="70" w:type="dxa"/>
        </w:tblCellMar>
        <w:tblLook w:val="00A0"/>
      </w:tblPr>
      <w:tblGrid>
        <w:gridCol w:w="4660"/>
        <w:gridCol w:w="1220"/>
        <w:gridCol w:w="1220"/>
        <w:gridCol w:w="1220"/>
        <w:gridCol w:w="1220"/>
      </w:tblGrid>
      <w:tr w:rsidR="00694CD8" w:rsidRPr="00D9298C" w:rsidTr="009C4F26">
        <w:trPr>
          <w:trHeight w:val="330"/>
        </w:trPr>
        <w:tc>
          <w:tcPr>
            <w:tcW w:w="4660" w:type="dxa"/>
            <w:tcBorders>
              <w:top w:val="single" w:sz="12" w:space="0" w:color="auto"/>
              <w:left w:val="nil"/>
              <w:bottom w:val="single" w:sz="12" w:space="0" w:color="auto"/>
              <w:right w:val="nil"/>
            </w:tcBorders>
            <w:noWrap/>
            <w:vAlign w:val="center"/>
          </w:tcPr>
          <w:p w:rsidR="00694CD8" w:rsidRPr="00D07591" w:rsidRDefault="00694CD8" w:rsidP="002D52ED">
            <w:pPr>
              <w:spacing w:after="0" w:line="240" w:lineRule="auto"/>
              <w:jc w:val="center"/>
            </w:pPr>
          </w:p>
        </w:tc>
        <w:tc>
          <w:tcPr>
            <w:tcW w:w="1220" w:type="dxa"/>
            <w:tcBorders>
              <w:top w:val="single" w:sz="12" w:space="0" w:color="auto"/>
              <w:left w:val="nil"/>
              <w:bottom w:val="single" w:sz="12" w:space="0" w:color="auto"/>
              <w:right w:val="nil"/>
            </w:tcBorders>
            <w:noWrap/>
            <w:vAlign w:val="center"/>
          </w:tcPr>
          <w:p w:rsidR="00694CD8" w:rsidRPr="00D07591" w:rsidRDefault="00694CD8" w:rsidP="002D52ED">
            <w:pPr>
              <w:spacing w:after="0" w:line="240" w:lineRule="auto"/>
              <w:jc w:val="center"/>
            </w:pPr>
            <w:r w:rsidRPr="00D07591">
              <w:t>Varianta 1</w:t>
            </w:r>
          </w:p>
        </w:tc>
        <w:tc>
          <w:tcPr>
            <w:tcW w:w="1220" w:type="dxa"/>
            <w:tcBorders>
              <w:top w:val="single" w:sz="12" w:space="0" w:color="auto"/>
              <w:left w:val="nil"/>
              <w:bottom w:val="single" w:sz="12" w:space="0" w:color="auto"/>
              <w:right w:val="nil"/>
            </w:tcBorders>
            <w:noWrap/>
            <w:vAlign w:val="center"/>
          </w:tcPr>
          <w:p w:rsidR="00694CD8" w:rsidRPr="00D07591" w:rsidRDefault="00694CD8" w:rsidP="002D52ED">
            <w:pPr>
              <w:spacing w:after="0" w:line="240" w:lineRule="auto"/>
              <w:jc w:val="center"/>
            </w:pPr>
            <w:r w:rsidRPr="00D07591">
              <w:t>Varianta 2</w:t>
            </w:r>
          </w:p>
        </w:tc>
        <w:tc>
          <w:tcPr>
            <w:tcW w:w="1220" w:type="dxa"/>
            <w:tcBorders>
              <w:top w:val="single" w:sz="12" w:space="0" w:color="auto"/>
              <w:left w:val="nil"/>
              <w:bottom w:val="single" w:sz="12" w:space="0" w:color="auto"/>
              <w:right w:val="nil"/>
            </w:tcBorders>
            <w:noWrap/>
            <w:vAlign w:val="center"/>
          </w:tcPr>
          <w:p w:rsidR="00694CD8" w:rsidRPr="00D07591" w:rsidRDefault="00694CD8" w:rsidP="002D52ED">
            <w:pPr>
              <w:spacing w:after="0" w:line="240" w:lineRule="auto"/>
              <w:jc w:val="center"/>
              <w:rPr>
                <w:b/>
              </w:rPr>
            </w:pPr>
            <w:r w:rsidRPr="00D07591">
              <w:rPr>
                <w:b/>
              </w:rPr>
              <w:t>Varianta 3</w:t>
            </w:r>
          </w:p>
        </w:tc>
        <w:tc>
          <w:tcPr>
            <w:tcW w:w="1220" w:type="dxa"/>
            <w:tcBorders>
              <w:top w:val="single" w:sz="12" w:space="0" w:color="auto"/>
              <w:left w:val="nil"/>
              <w:bottom w:val="single" w:sz="12" w:space="0" w:color="auto"/>
              <w:right w:val="nil"/>
            </w:tcBorders>
            <w:noWrap/>
            <w:vAlign w:val="center"/>
          </w:tcPr>
          <w:p w:rsidR="00694CD8" w:rsidRPr="00D07591" w:rsidRDefault="00694CD8" w:rsidP="002D52ED">
            <w:pPr>
              <w:spacing w:after="0" w:line="240" w:lineRule="auto"/>
              <w:jc w:val="center"/>
              <w:rPr>
                <w:b/>
              </w:rPr>
            </w:pPr>
            <w:r w:rsidRPr="00D07591">
              <w:rPr>
                <w:b/>
              </w:rPr>
              <w:t>Varianta 4</w:t>
            </w:r>
          </w:p>
        </w:tc>
      </w:tr>
      <w:tr w:rsidR="00694CD8" w:rsidRPr="00D9298C" w:rsidTr="00DB3E9C">
        <w:trPr>
          <w:trHeight w:val="315"/>
        </w:trPr>
        <w:tc>
          <w:tcPr>
            <w:tcW w:w="4660" w:type="dxa"/>
            <w:tcBorders>
              <w:top w:val="nil"/>
              <w:left w:val="nil"/>
              <w:bottom w:val="nil"/>
              <w:right w:val="nil"/>
            </w:tcBorders>
            <w:noWrap/>
            <w:vAlign w:val="center"/>
          </w:tcPr>
          <w:p w:rsidR="00694CD8" w:rsidRPr="00D07591" w:rsidRDefault="00694CD8" w:rsidP="00DB3E9C">
            <w:pPr>
              <w:spacing w:after="0" w:line="240" w:lineRule="auto"/>
              <w:jc w:val="center"/>
            </w:pPr>
            <w:r w:rsidRPr="00D07591">
              <w:t>min. základ se neuplatňuje jeden den z měsíce </w:t>
            </w:r>
          </w:p>
        </w:tc>
        <w:tc>
          <w:tcPr>
            <w:tcW w:w="1220" w:type="dxa"/>
            <w:tcBorders>
              <w:top w:val="nil"/>
              <w:left w:val="nil"/>
              <w:bottom w:val="nil"/>
              <w:right w:val="nil"/>
            </w:tcBorders>
            <w:noWrap/>
            <w:vAlign w:val="bottom"/>
          </w:tcPr>
          <w:p w:rsidR="00694CD8" w:rsidRPr="00D07591" w:rsidRDefault="00694CD8" w:rsidP="002D52ED">
            <w:pPr>
              <w:spacing w:after="0" w:line="240" w:lineRule="auto"/>
              <w:jc w:val="center"/>
            </w:pPr>
            <w:r w:rsidRPr="00D07591">
              <w:t>15%</w:t>
            </w:r>
          </w:p>
        </w:tc>
        <w:tc>
          <w:tcPr>
            <w:tcW w:w="1220" w:type="dxa"/>
            <w:tcBorders>
              <w:top w:val="nil"/>
              <w:left w:val="nil"/>
              <w:bottom w:val="nil"/>
              <w:right w:val="nil"/>
            </w:tcBorders>
            <w:noWrap/>
            <w:vAlign w:val="bottom"/>
          </w:tcPr>
          <w:p w:rsidR="00694CD8" w:rsidRPr="00D07591" w:rsidRDefault="00694CD8" w:rsidP="002D52ED">
            <w:pPr>
              <w:spacing w:after="0" w:line="240" w:lineRule="auto"/>
              <w:jc w:val="center"/>
            </w:pPr>
            <w:r w:rsidRPr="00D07591">
              <w:t>13%</w:t>
            </w:r>
          </w:p>
        </w:tc>
        <w:tc>
          <w:tcPr>
            <w:tcW w:w="1220" w:type="dxa"/>
            <w:tcBorders>
              <w:top w:val="nil"/>
              <w:left w:val="nil"/>
              <w:bottom w:val="nil"/>
              <w:right w:val="nil"/>
            </w:tcBorders>
            <w:noWrap/>
            <w:vAlign w:val="bottom"/>
          </w:tcPr>
          <w:p w:rsidR="00694CD8" w:rsidRPr="00D07591" w:rsidRDefault="00694CD8" w:rsidP="002D52ED">
            <w:pPr>
              <w:spacing w:after="0" w:line="240" w:lineRule="auto"/>
              <w:jc w:val="center"/>
              <w:rPr>
                <w:b/>
              </w:rPr>
            </w:pPr>
            <w:r w:rsidRPr="00D07591">
              <w:rPr>
                <w:b/>
              </w:rPr>
              <w:t>10%</w:t>
            </w:r>
          </w:p>
        </w:tc>
        <w:tc>
          <w:tcPr>
            <w:tcW w:w="1220" w:type="dxa"/>
            <w:tcBorders>
              <w:top w:val="nil"/>
              <w:left w:val="nil"/>
              <w:bottom w:val="nil"/>
              <w:right w:val="nil"/>
            </w:tcBorders>
            <w:noWrap/>
            <w:vAlign w:val="bottom"/>
          </w:tcPr>
          <w:p w:rsidR="00694CD8" w:rsidRPr="00D07591" w:rsidRDefault="00694CD8" w:rsidP="002D52ED">
            <w:pPr>
              <w:spacing w:after="0" w:line="240" w:lineRule="auto"/>
              <w:jc w:val="center"/>
              <w:rPr>
                <w:b/>
              </w:rPr>
            </w:pPr>
            <w:r w:rsidRPr="00D07591">
              <w:rPr>
                <w:b/>
              </w:rPr>
              <w:t>5%</w:t>
            </w:r>
          </w:p>
        </w:tc>
      </w:tr>
      <w:tr w:rsidR="00694CD8" w:rsidRPr="00D9298C" w:rsidTr="009C4F26">
        <w:trPr>
          <w:trHeight w:val="300"/>
        </w:trPr>
        <w:tc>
          <w:tcPr>
            <w:tcW w:w="4660" w:type="dxa"/>
            <w:tcBorders>
              <w:top w:val="nil"/>
              <w:left w:val="nil"/>
              <w:bottom w:val="nil"/>
              <w:right w:val="nil"/>
            </w:tcBorders>
            <w:noWrap/>
            <w:vAlign w:val="bottom"/>
          </w:tcPr>
          <w:p w:rsidR="00694CD8" w:rsidRPr="00D07591" w:rsidRDefault="00694CD8" w:rsidP="00DB3E9C">
            <w:pPr>
              <w:spacing w:after="0" w:line="240" w:lineRule="auto"/>
              <w:jc w:val="center"/>
            </w:pPr>
            <w:r w:rsidRPr="00D07591">
              <w:t>min. základ se neuplatňuje 1/4 měsíce</w:t>
            </w:r>
          </w:p>
        </w:tc>
        <w:tc>
          <w:tcPr>
            <w:tcW w:w="1220" w:type="dxa"/>
            <w:tcBorders>
              <w:top w:val="nil"/>
              <w:left w:val="nil"/>
              <w:bottom w:val="nil"/>
              <w:right w:val="nil"/>
            </w:tcBorders>
            <w:noWrap/>
            <w:vAlign w:val="bottom"/>
          </w:tcPr>
          <w:p w:rsidR="00694CD8" w:rsidRPr="00D07591" w:rsidRDefault="00694CD8" w:rsidP="002D52ED">
            <w:pPr>
              <w:spacing w:after="0" w:line="240" w:lineRule="auto"/>
              <w:jc w:val="center"/>
            </w:pPr>
            <w:r w:rsidRPr="00D07591">
              <w:t>15%</w:t>
            </w:r>
          </w:p>
        </w:tc>
        <w:tc>
          <w:tcPr>
            <w:tcW w:w="1220" w:type="dxa"/>
            <w:tcBorders>
              <w:top w:val="nil"/>
              <w:left w:val="nil"/>
              <w:bottom w:val="nil"/>
              <w:right w:val="nil"/>
            </w:tcBorders>
            <w:noWrap/>
            <w:vAlign w:val="bottom"/>
          </w:tcPr>
          <w:p w:rsidR="00694CD8" w:rsidRPr="00D07591" w:rsidRDefault="00694CD8" w:rsidP="002D52ED">
            <w:pPr>
              <w:spacing w:after="0" w:line="240" w:lineRule="auto"/>
              <w:jc w:val="center"/>
            </w:pPr>
            <w:r w:rsidRPr="00D07591">
              <w:t>13%</w:t>
            </w:r>
          </w:p>
        </w:tc>
        <w:tc>
          <w:tcPr>
            <w:tcW w:w="1220" w:type="dxa"/>
            <w:tcBorders>
              <w:top w:val="nil"/>
              <w:left w:val="nil"/>
              <w:bottom w:val="nil"/>
              <w:right w:val="nil"/>
            </w:tcBorders>
            <w:noWrap/>
            <w:vAlign w:val="bottom"/>
          </w:tcPr>
          <w:p w:rsidR="00694CD8" w:rsidRPr="00D07591" w:rsidRDefault="00694CD8" w:rsidP="002D52ED">
            <w:pPr>
              <w:spacing w:after="0" w:line="240" w:lineRule="auto"/>
              <w:jc w:val="center"/>
              <w:rPr>
                <w:b/>
              </w:rPr>
            </w:pPr>
            <w:r w:rsidRPr="00D07591">
              <w:rPr>
                <w:b/>
              </w:rPr>
              <w:t>10%</w:t>
            </w:r>
          </w:p>
        </w:tc>
        <w:tc>
          <w:tcPr>
            <w:tcW w:w="1220" w:type="dxa"/>
            <w:tcBorders>
              <w:top w:val="nil"/>
              <w:left w:val="nil"/>
              <w:bottom w:val="nil"/>
              <w:right w:val="nil"/>
            </w:tcBorders>
            <w:noWrap/>
            <w:vAlign w:val="bottom"/>
          </w:tcPr>
          <w:p w:rsidR="00694CD8" w:rsidRPr="00D07591" w:rsidRDefault="00694CD8" w:rsidP="002D52ED">
            <w:pPr>
              <w:spacing w:after="0" w:line="240" w:lineRule="auto"/>
              <w:jc w:val="center"/>
              <w:rPr>
                <w:b/>
              </w:rPr>
            </w:pPr>
            <w:r w:rsidRPr="00D07591">
              <w:rPr>
                <w:b/>
              </w:rPr>
              <w:t>5%</w:t>
            </w:r>
          </w:p>
        </w:tc>
      </w:tr>
      <w:tr w:rsidR="00694CD8" w:rsidRPr="00D9298C" w:rsidTr="009C4F26">
        <w:trPr>
          <w:trHeight w:val="300"/>
        </w:trPr>
        <w:tc>
          <w:tcPr>
            <w:tcW w:w="4660" w:type="dxa"/>
            <w:tcBorders>
              <w:top w:val="nil"/>
              <w:left w:val="nil"/>
              <w:bottom w:val="nil"/>
              <w:right w:val="nil"/>
            </w:tcBorders>
            <w:noWrap/>
            <w:vAlign w:val="bottom"/>
          </w:tcPr>
          <w:p w:rsidR="00694CD8" w:rsidRPr="00D07591" w:rsidRDefault="00694CD8" w:rsidP="00DB3E9C">
            <w:pPr>
              <w:spacing w:after="0" w:line="240" w:lineRule="auto"/>
              <w:jc w:val="center"/>
            </w:pPr>
            <w:r w:rsidRPr="00D07591">
              <w:t>min. základ se neuplatňuje 1/2 měsíce</w:t>
            </w:r>
          </w:p>
        </w:tc>
        <w:tc>
          <w:tcPr>
            <w:tcW w:w="1220" w:type="dxa"/>
            <w:tcBorders>
              <w:top w:val="nil"/>
              <w:left w:val="nil"/>
              <w:bottom w:val="nil"/>
              <w:right w:val="nil"/>
            </w:tcBorders>
            <w:noWrap/>
            <w:vAlign w:val="bottom"/>
          </w:tcPr>
          <w:p w:rsidR="00694CD8" w:rsidRPr="00D07591" w:rsidRDefault="00694CD8" w:rsidP="002D52ED">
            <w:pPr>
              <w:spacing w:after="0" w:line="240" w:lineRule="auto"/>
              <w:jc w:val="center"/>
            </w:pPr>
            <w:r w:rsidRPr="00D07591">
              <w:t>15%</w:t>
            </w:r>
          </w:p>
        </w:tc>
        <w:tc>
          <w:tcPr>
            <w:tcW w:w="1220" w:type="dxa"/>
            <w:tcBorders>
              <w:top w:val="nil"/>
              <w:left w:val="nil"/>
              <w:bottom w:val="nil"/>
              <w:right w:val="nil"/>
            </w:tcBorders>
            <w:noWrap/>
            <w:vAlign w:val="bottom"/>
          </w:tcPr>
          <w:p w:rsidR="00694CD8" w:rsidRPr="00D07591" w:rsidRDefault="00694CD8" w:rsidP="002D52ED">
            <w:pPr>
              <w:spacing w:after="0" w:line="240" w:lineRule="auto"/>
              <w:jc w:val="center"/>
            </w:pPr>
            <w:r w:rsidRPr="00D07591">
              <w:t>13%</w:t>
            </w:r>
          </w:p>
        </w:tc>
        <w:tc>
          <w:tcPr>
            <w:tcW w:w="1220" w:type="dxa"/>
            <w:tcBorders>
              <w:top w:val="nil"/>
              <w:left w:val="nil"/>
              <w:bottom w:val="nil"/>
              <w:right w:val="nil"/>
            </w:tcBorders>
            <w:noWrap/>
            <w:vAlign w:val="bottom"/>
          </w:tcPr>
          <w:p w:rsidR="00694CD8" w:rsidRPr="00D07591" w:rsidRDefault="00694CD8" w:rsidP="002D52ED">
            <w:pPr>
              <w:spacing w:after="0" w:line="240" w:lineRule="auto"/>
              <w:jc w:val="center"/>
              <w:rPr>
                <w:b/>
              </w:rPr>
            </w:pPr>
            <w:r w:rsidRPr="00D07591">
              <w:rPr>
                <w:b/>
              </w:rPr>
              <w:t>10%</w:t>
            </w:r>
          </w:p>
        </w:tc>
        <w:tc>
          <w:tcPr>
            <w:tcW w:w="1220" w:type="dxa"/>
            <w:tcBorders>
              <w:top w:val="nil"/>
              <w:left w:val="nil"/>
              <w:bottom w:val="nil"/>
              <w:right w:val="nil"/>
            </w:tcBorders>
            <w:noWrap/>
            <w:vAlign w:val="bottom"/>
          </w:tcPr>
          <w:p w:rsidR="00694CD8" w:rsidRPr="00D07591" w:rsidRDefault="00694CD8" w:rsidP="002D52ED">
            <w:pPr>
              <w:spacing w:after="0" w:line="240" w:lineRule="auto"/>
              <w:jc w:val="center"/>
              <w:rPr>
                <w:b/>
              </w:rPr>
            </w:pPr>
            <w:r w:rsidRPr="00D07591">
              <w:rPr>
                <w:b/>
              </w:rPr>
              <w:t>5%</w:t>
            </w:r>
          </w:p>
        </w:tc>
      </w:tr>
      <w:tr w:rsidR="00694CD8" w:rsidRPr="00D9298C" w:rsidTr="009C4F26">
        <w:trPr>
          <w:trHeight w:val="300"/>
        </w:trPr>
        <w:tc>
          <w:tcPr>
            <w:tcW w:w="4660" w:type="dxa"/>
            <w:tcBorders>
              <w:top w:val="nil"/>
              <w:left w:val="nil"/>
              <w:bottom w:val="nil"/>
              <w:right w:val="nil"/>
            </w:tcBorders>
            <w:noWrap/>
            <w:vAlign w:val="bottom"/>
          </w:tcPr>
          <w:p w:rsidR="00694CD8" w:rsidRPr="00D07591" w:rsidRDefault="00694CD8" w:rsidP="00DB3E9C">
            <w:pPr>
              <w:spacing w:after="0" w:line="240" w:lineRule="auto"/>
              <w:jc w:val="center"/>
            </w:pPr>
            <w:r w:rsidRPr="00D07591">
              <w:t>min. základ se neuplatňuje 3/4 měsíce</w:t>
            </w:r>
          </w:p>
        </w:tc>
        <w:tc>
          <w:tcPr>
            <w:tcW w:w="1220" w:type="dxa"/>
            <w:tcBorders>
              <w:top w:val="nil"/>
              <w:left w:val="nil"/>
              <w:bottom w:val="nil"/>
              <w:right w:val="nil"/>
            </w:tcBorders>
            <w:noWrap/>
            <w:vAlign w:val="bottom"/>
          </w:tcPr>
          <w:p w:rsidR="00694CD8" w:rsidRPr="00D07591" w:rsidRDefault="00694CD8" w:rsidP="002D52ED">
            <w:pPr>
              <w:spacing w:after="0" w:line="240" w:lineRule="auto"/>
              <w:jc w:val="center"/>
            </w:pPr>
            <w:r w:rsidRPr="00D07591">
              <w:t>15%</w:t>
            </w:r>
          </w:p>
        </w:tc>
        <w:tc>
          <w:tcPr>
            <w:tcW w:w="1220" w:type="dxa"/>
            <w:tcBorders>
              <w:top w:val="nil"/>
              <w:left w:val="nil"/>
              <w:bottom w:val="nil"/>
              <w:right w:val="nil"/>
            </w:tcBorders>
            <w:noWrap/>
            <w:vAlign w:val="bottom"/>
          </w:tcPr>
          <w:p w:rsidR="00694CD8" w:rsidRPr="00D07591" w:rsidRDefault="00694CD8" w:rsidP="002D52ED">
            <w:pPr>
              <w:spacing w:after="0" w:line="240" w:lineRule="auto"/>
              <w:jc w:val="center"/>
            </w:pPr>
            <w:r w:rsidRPr="00D07591">
              <w:t>13%</w:t>
            </w:r>
          </w:p>
        </w:tc>
        <w:tc>
          <w:tcPr>
            <w:tcW w:w="1220" w:type="dxa"/>
            <w:tcBorders>
              <w:top w:val="nil"/>
              <w:left w:val="nil"/>
              <w:bottom w:val="nil"/>
              <w:right w:val="nil"/>
            </w:tcBorders>
            <w:noWrap/>
            <w:vAlign w:val="bottom"/>
          </w:tcPr>
          <w:p w:rsidR="00694CD8" w:rsidRPr="00D07591" w:rsidRDefault="00694CD8" w:rsidP="002D52ED">
            <w:pPr>
              <w:spacing w:after="0" w:line="240" w:lineRule="auto"/>
              <w:jc w:val="center"/>
              <w:rPr>
                <w:b/>
              </w:rPr>
            </w:pPr>
            <w:r w:rsidRPr="00D07591">
              <w:rPr>
                <w:b/>
              </w:rPr>
              <w:t>10%</w:t>
            </w:r>
          </w:p>
        </w:tc>
        <w:tc>
          <w:tcPr>
            <w:tcW w:w="1220" w:type="dxa"/>
            <w:tcBorders>
              <w:top w:val="nil"/>
              <w:left w:val="nil"/>
              <w:bottom w:val="nil"/>
              <w:right w:val="nil"/>
            </w:tcBorders>
            <w:noWrap/>
            <w:vAlign w:val="bottom"/>
          </w:tcPr>
          <w:p w:rsidR="00694CD8" w:rsidRPr="00D07591" w:rsidRDefault="00694CD8" w:rsidP="002D52ED">
            <w:pPr>
              <w:spacing w:after="0" w:line="240" w:lineRule="auto"/>
              <w:jc w:val="center"/>
              <w:rPr>
                <w:b/>
              </w:rPr>
            </w:pPr>
            <w:r w:rsidRPr="00D07591">
              <w:rPr>
                <w:b/>
              </w:rPr>
              <w:t>5%</w:t>
            </w:r>
          </w:p>
        </w:tc>
      </w:tr>
      <w:tr w:rsidR="00694CD8" w:rsidRPr="00D9298C" w:rsidTr="009C4F26">
        <w:trPr>
          <w:trHeight w:val="315"/>
        </w:trPr>
        <w:tc>
          <w:tcPr>
            <w:tcW w:w="4660" w:type="dxa"/>
            <w:tcBorders>
              <w:top w:val="nil"/>
              <w:left w:val="nil"/>
              <w:bottom w:val="nil"/>
              <w:right w:val="nil"/>
            </w:tcBorders>
            <w:noWrap/>
            <w:vAlign w:val="bottom"/>
          </w:tcPr>
          <w:p w:rsidR="00694CD8" w:rsidRPr="00D07591" w:rsidRDefault="00694CD8" w:rsidP="002D52ED">
            <w:pPr>
              <w:spacing w:after="0" w:line="240" w:lineRule="auto"/>
              <w:jc w:val="center"/>
            </w:pPr>
            <w:r w:rsidRPr="00D07591">
              <w:t>odcházející z min. základu na přelomu měsíce</w:t>
            </w:r>
          </w:p>
        </w:tc>
        <w:tc>
          <w:tcPr>
            <w:tcW w:w="1220" w:type="dxa"/>
            <w:tcBorders>
              <w:top w:val="nil"/>
              <w:left w:val="nil"/>
              <w:bottom w:val="nil"/>
              <w:right w:val="nil"/>
            </w:tcBorders>
            <w:noWrap/>
            <w:vAlign w:val="bottom"/>
          </w:tcPr>
          <w:p w:rsidR="00694CD8" w:rsidRPr="00D07591" w:rsidRDefault="00694CD8" w:rsidP="002D52ED">
            <w:pPr>
              <w:spacing w:after="0" w:line="240" w:lineRule="auto"/>
              <w:jc w:val="center"/>
            </w:pPr>
            <w:r w:rsidRPr="00D07591">
              <w:t>40%</w:t>
            </w:r>
          </w:p>
        </w:tc>
        <w:tc>
          <w:tcPr>
            <w:tcW w:w="1220" w:type="dxa"/>
            <w:tcBorders>
              <w:top w:val="nil"/>
              <w:left w:val="nil"/>
              <w:bottom w:val="nil"/>
              <w:right w:val="nil"/>
            </w:tcBorders>
            <w:noWrap/>
            <w:vAlign w:val="bottom"/>
          </w:tcPr>
          <w:p w:rsidR="00694CD8" w:rsidRPr="00D07591" w:rsidRDefault="00694CD8" w:rsidP="002D52ED">
            <w:pPr>
              <w:spacing w:after="0" w:line="240" w:lineRule="auto"/>
              <w:jc w:val="center"/>
            </w:pPr>
            <w:r w:rsidRPr="00D07591">
              <w:t>50%</w:t>
            </w:r>
          </w:p>
        </w:tc>
        <w:tc>
          <w:tcPr>
            <w:tcW w:w="1220" w:type="dxa"/>
            <w:tcBorders>
              <w:top w:val="nil"/>
              <w:left w:val="nil"/>
              <w:bottom w:val="nil"/>
              <w:right w:val="nil"/>
            </w:tcBorders>
            <w:noWrap/>
            <w:vAlign w:val="bottom"/>
          </w:tcPr>
          <w:p w:rsidR="00694CD8" w:rsidRPr="00D07591" w:rsidRDefault="00694CD8" w:rsidP="002D52ED">
            <w:pPr>
              <w:spacing w:after="0" w:line="240" w:lineRule="auto"/>
              <w:jc w:val="center"/>
              <w:rPr>
                <w:b/>
              </w:rPr>
            </w:pPr>
            <w:r w:rsidRPr="00D07591">
              <w:rPr>
                <w:b/>
              </w:rPr>
              <w:t>60%</w:t>
            </w:r>
          </w:p>
        </w:tc>
        <w:tc>
          <w:tcPr>
            <w:tcW w:w="1220" w:type="dxa"/>
            <w:tcBorders>
              <w:top w:val="nil"/>
              <w:left w:val="nil"/>
              <w:bottom w:val="nil"/>
              <w:right w:val="nil"/>
            </w:tcBorders>
            <w:noWrap/>
            <w:vAlign w:val="bottom"/>
          </w:tcPr>
          <w:p w:rsidR="00694CD8" w:rsidRPr="00D07591" w:rsidRDefault="00694CD8" w:rsidP="002D52ED">
            <w:pPr>
              <w:spacing w:after="0" w:line="240" w:lineRule="auto"/>
              <w:jc w:val="center"/>
              <w:rPr>
                <w:b/>
              </w:rPr>
            </w:pPr>
            <w:r w:rsidRPr="00D07591">
              <w:rPr>
                <w:b/>
              </w:rPr>
              <w:t>80%</w:t>
            </w:r>
          </w:p>
        </w:tc>
      </w:tr>
      <w:tr w:rsidR="00694CD8" w:rsidRPr="00D9298C" w:rsidTr="009C4F26">
        <w:trPr>
          <w:trHeight w:val="330"/>
        </w:trPr>
        <w:tc>
          <w:tcPr>
            <w:tcW w:w="4660" w:type="dxa"/>
            <w:tcBorders>
              <w:top w:val="single" w:sz="12" w:space="0" w:color="auto"/>
              <w:left w:val="nil"/>
              <w:bottom w:val="single" w:sz="12" w:space="0" w:color="auto"/>
              <w:right w:val="nil"/>
            </w:tcBorders>
            <w:noWrap/>
            <w:vAlign w:val="bottom"/>
          </w:tcPr>
          <w:p w:rsidR="00694CD8" w:rsidRPr="00D07591" w:rsidRDefault="00694CD8" w:rsidP="002D52ED">
            <w:pPr>
              <w:spacing w:after="0" w:line="240" w:lineRule="auto"/>
              <w:jc w:val="center"/>
              <w:rPr>
                <w:b/>
                <w:bCs/>
              </w:rPr>
            </w:pPr>
            <w:r w:rsidRPr="00D07591">
              <w:rPr>
                <w:b/>
                <w:bCs/>
              </w:rPr>
              <w:t>Nárůst zdravotního pojištění</w:t>
            </w:r>
          </w:p>
        </w:tc>
        <w:tc>
          <w:tcPr>
            <w:tcW w:w="1220" w:type="dxa"/>
            <w:tcBorders>
              <w:top w:val="single" w:sz="12" w:space="0" w:color="auto"/>
              <w:left w:val="nil"/>
              <w:bottom w:val="single" w:sz="12" w:space="0" w:color="auto"/>
              <w:right w:val="nil"/>
            </w:tcBorders>
            <w:noWrap/>
            <w:vAlign w:val="bottom"/>
          </w:tcPr>
          <w:p w:rsidR="00694CD8" w:rsidRPr="00D07591" w:rsidRDefault="00694CD8" w:rsidP="002D52ED">
            <w:pPr>
              <w:spacing w:after="0" w:line="240" w:lineRule="auto"/>
              <w:jc w:val="center"/>
              <w:rPr>
                <w:b/>
                <w:bCs/>
              </w:rPr>
            </w:pPr>
            <w:r w:rsidRPr="00D07591">
              <w:rPr>
                <w:b/>
                <w:bCs/>
              </w:rPr>
              <w:t>50 779 014</w:t>
            </w:r>
          </w:p>
        </w:tc>
        <w:tc>
          <w:tcPr>
            <w:tcW w:w="1220" w:type="dxa"/>
            <w:tcBorders>
              <w:top w:val="single" w:sz="12" w:space="0" w:color="auto"/>
              <w:left w:val="nil"/>
              <w:bottom w:val="single" w:sz="12" w:space="0" w:color="auto"/>
              <w:right w:val="nil"/>
            </w:tcBorders>
            <w:noWrap/>
            <w:vAlign w:val="bottom"/>
          </w:tcPr>
          <w:p w:rsidR="00694CD8" w:rsidRPr="00D07591" w:rsidRDefault="00694CD8" w:rsidP="002D52ED">
            <w:pPr>
              <w:spacing w:after="0" w:line="240" w:lineRule="auto"/>
              <w:jc w:val="center"/>
              <w:rPr>
                <w:b/>
                <w:bCs/>
              </w:rPr>
            </w:pPr>
            <w:r w:rsidRPr="00D07591">
              <w:rPr>
                <w:b/>
                <w:bCs/>
              </w:rPr>
              <w:t>42 315 845</w:t>
            </w:r>
          </w:p>
        </w:tc>
        <w:tc>
          <w:tcPr>
            <w:tcW w:w="1220" w:type="dxa"/>
            <w:tcBorders>
              <w:top w:val="single" w:sz="12" w:space="0" w:color="auto"/>
              <w:left w:val="nil"/>
              <w:bottom w:val="single" w:sz="12" w:space="0" w:color="auto"/>
              <w:right w:val="nil"/>
            </w:tcBorders>
            <w:noWrap/>
            <w:vAlign w:val="bottom"/>
          </w:tcPr>
          <w:p w:rsidR="00694CD8" w:rsidRPr="00D07591" w:rsidRDefault="00694CD8" w:rsidP="002D52ED">
            <w:pPr>
              <w:spacing w:after="0" w:line="240" w:lineRule="auto"/>
              <w:jc w:val="center"/>
              <w:rPr>
                <w:b/>
                <w:bCs/>
              </w:rPr>
            </w:pPr>
            <w:r w:rsidRPr="00D07591">
              <w:rPr>
                <w:b/>
                <w:bCs/>
              </w:rPr>
              <w:t>33 852 676</w:t>
            </w:r>
          </w:p>
        </w:tc>
        <w:tc>
          <w:tcPr>
            <w:tcW w:w="1220" w:type="dxa"/>
            <w:tcBorders>
              <w:top w:val="single" w:sz="12" w:space="0" w:color="auto"/>
              <w:left w:val="nil"/>
              <w:bottom w:val="single" w:sz="12" w:space="0" w:color="auto"/>
              <w:right w:val="nil"/>
            </w:tcBorders>
            <w:noWrap/>
            <w:vAlign w:val="bottom"/>
          </w:tcPr>
          <w:p w:rsidR="00694CD8" w:rsidRPr="00D07591" w:rsidRDefault="00694CD8" w:rsidP="002D52ED">
            <w:pPr>
              <w:spacing w:after="0" w:line="240" w:lineRule="auto"/>
              <w:jc w:val="center"/>
              <w:rPr>
                <w:b/>
                <w:bCs/>
              </w:rPr>
            </w:pPr>
            <w:r w:rsidRPr="00D07591">
              <w:rPr>
                <w:b/>
                <w:bCs/>
              </w:rPr>
              <w:t>16 926 338</w:t>
            </w:r>
          </w:p>
        </w:tc>
      </w:tr>
    </w:tbl>
    <w:p w:rsidR="00694CD8" w:rsidRPr="00D07591" w:rsidRDefault="00694CD8" w:rsidP="002D52ED">
      <w:pPr>
        <w:spacing w:line="240" w:lineRule="auto"/>
        <w:rPr>
          <w:lang w:eastAsia="en-US"/>
        </w:rPr>
      </w:pPr>
    </w:p>
    <w:p w:rsidR="00694CD8" w:rsidRPr="00D07591" w:rsidRDefault="00694CD8" w:rsidP="002D52ED">
      <w:pPr>
        <w:spacing w:line="240" w:lineRule="auto"/>
        <w:jc w:val="both"/>
      </w:pPr>
      <w:r w:rsidRPr="00D07591">
        <w:rPr>
          <w:lang w:eastAsia="en-US"/>
        </w:rPr>
        <w:t xml:space="preserve">Z tabulky je zřejmé, že i při krajních předpokladech </w:t>
      </w:r>
      <w:r w:rsidRPr="00D07591">
        <w:t>pojistné vzroste pouze o přibližně 50 milionů korun ročně (varianta 1). Jako daleko více pravděpodobné se zdají rozložení pravděpodobnosti variant 4, případně 3. Pojistné by tedy vzrostlo pouze o 16 respektive 33 milionů korun ročně.</w:t>
      </w:r>
    </w:p>
    <w:p w:rsidR="00694CD8" w:rsidRPr="00D07591" w:rsidRDefault="00694CD8" w:rsidP="002D52ED">
      <w:pPr>
        <w:spacing w:line="240" w:lineRule="auto"/>
        <w:jc w:val="both"/>
        <w:rPr>
          <w:lang w:eastAsia="en-US"/>
        </w:rPr>
      </w:pPr>
      <w:r w:rsidRPr="00D07591">
        <w:t>Z pohledu srozumitelnosti a přehlednosti by bylo vhodné směřovat do situace, kdy se minimální i maximální základy budou počítat vždy buď dle počtu dnů, nebo měsíců pojištění. Dle návrhu se minimální základ u zdravotního pojištění počítá dle počtu dnů, u sociálního pojištění dle počtu měsíců. Maximální základy jsou pak na počtu dnů nebo měsíců nezávislé.  Rozumíme, že toto zpřehlednění v praxi vyžaduje dalekosáhlejší a ne snadné změny.  Dále by v cílovém stavu bylo vhodné, aby se všechny minimální i maximální základy odvíjeli buď od průměrné, nebo od minimální mzdy.</w:t>
      </w:r>
    </w:p>
    <w:p w:rsidR="00694CD8" w:rsidRPr="00D07591" w:rsidRDefault="00694CD8" w:rsidP="002D52ED">
      <w:pPr>
        <w:spacing w:after="120" w:line="240" w:lineRule="auto"/>
        <w:jc w:val="both"/>
        <w:rPr>
          <w:b/>
          <w:sz w:val="24"/>
          <w:szCs w:val="24"/>
        </w:rPr>
      </w:pPr>
    </w:p>
    <w:p w:rsidR="00694CD8" w:rsidRPr="00D07591" w:rsidRDefault="00694CD8" w:rsidP="002D52ED">
      <w:pPr>
        <w:spacing w:after="120" w:line="240" w:lineRule="auto"/>
        <w:jc w:val="both"/>
        <w:rPr>
          <w:b/>
          <w:sz w:val="24"/>
          <w:szCs w:val="24"/>
        </w:rPr>
      </w:pPr>
      <w:r w:rsidRPr="00D07591">
        <w:rPr>
          <w:b/>
          <w:sz w:val="24"/>
          <w:szCs w:val="24"/>
        </w:rPr>
        <w:t>5. Pojistné z úhrnu mezd</w:t>
      </w:r>
    </w:p>
    <w:p w:rsidR="00694CD8" w:rsidRPr="00D07591" w:rsidRDefault="00694CD8" w:rsidP="002D52ED">
      <w:pPr>
        <w:spacing w:after="120" w:line="240" w:lineRule="auto"/>
        <w:jc w:val="both"/>
      </w:pPr>
      <w:r w:rsidRPr="00D07591">
        <w:t xml:space="preserve">Pojistné z úhrnu mezd mění základ pro výpočet zdravotního i sociálního pojištění u pojistného zaměstnanců placeného zaměstnavatelem. Návrh zákona stanoví základ pojistného na úrovni společnosti, případně pokladny společnosti na rozdíl od současného stavu, kdy je základ nastaven na úrovni zaměstnance. </w:t>
      </w:r>
      <w:r w:rsidRPr="00D07591">
        <w:rPr>
          <w:b/>
        </w:rPr>
        <w:t>Tato změna se může dotknout až 13 tisíc z celkového počtu přibližně 4 milionů zaměstnanců v případě sociálního pojištění a téměř 6 tisíc zaměstnanců v případě zdravotního pojištění</w:t>
      </w:r>
      <w:r w:rsidRPr="00D07591">
        <w:rPr>
          <w:rStyle w:val="FootnoteReference"/>
        </w:rPr>
        <w:footnoteReference w:id="6"/>
      </w:r>
      <w:r w:rsidRPr="00D07591">
        <w:t>. Tyto odhady počtu jednotlivců dotčených úpravou základu pojištění vycházejí z databáze SILC a jsou pravděpodobně mírně podhodnocené</w:t>
      </w:r>
      <w:r w:rsidRPr="00D07591">
        <w:rPr>
          <w:rStyle w:val="FootnoteReference"/>
        </w:rPr>
        <w:footnoteReference w:id="7"/>
      </w:r>
      <w:r w:rsidRPr="00D07591">
        <w:t xml:space="preserve">. I přes tento nedostatek jsou níže publikované změny pojistného nejlepším v praxi možným odhadem. Rozložení mezd zaměstnanců vzhledem ke stropům sociálního a zdravotního pojištění ukazují grafy 5.1 a 5.2. </w:t>
      </w:r>
    </w:p>
    <w:p w:rsidR="00694CD8" w:rsidRPr="00D07591" w:rsidRDefault="00694CD8" w:rsidP="002D52ED">
      <w:pPr>
        <w:pStyle w:val="Caption"/>
        <w:keepNext/>
        <w:jc w:val="both"/>
      </w:pPr>
      <w:r w:rsidRPr="00D07591">
        <w:t>Graf 5.1: Rozložení mezd vzhledem ke stropu sociálního pojištění</w:t>
      </w:r>
    </w:p>
    <w:p w:rsidR="00694CD8" w:rsidRPr="00D07591" w:rsidRDefault="00694CD8" w:rsidP="002D52ED">
      <w:pPr>
        <w:spacing w:after="120" w:line="240" w:lineRule="auto"/>
        <w:jc w:val="both"/>
      </w:pPr>
      <w:r w:rsidRPr="005B0070">
        <w:rPr>
          <w:noProof/>
        </w:rPr>
        <w:pict>
          <v:shape id="obrázek 3" o:spid="_x0000_i1028" type="#_x0000_t75" style="width:402.75pt;height:294.75pt;visibility:visible">
            <v:imagedata r:id="rId12" o:title=""/>
          </v:shape>
        </w:pict>
      </w:r>
    </w:p>
    <w:p w:rsidR="00694CD8" w:rsidRPr="00D07591" w:rsidRDefault="00694CD8" w:rsidP="002D52ED">
      <w:pPr>
        <w:spacing w:after="120" w:line="240" w:lineRule="auto"/>
        <w:jc w:val="both"/>
      </w:pPr>
    </w:p>
    <w:p w:rsidR="00694CD8" w:rsidRPr="00D07591" w:rsidRDefault="00694CD8" w:rsidP="002D52ED">
      <w:pPr>
        <w:pStyle w:val="Caption"/>
        <w:keepNext/>
        <w:jc w:val="both"/>
      </w:pPr>
      <w:r w:rsidRPr="00D07591">
        <w:t>Graf 5.2: Rozložení mezd vzhledem ke stropu zdravotního pojištění</w:t>
      </w:r>
    </w:p>
    <w:p w:rsidR="00694CD8" w:rsidRPr="00D07591" w:rsidRDefault="00694CD8" w:rsidP="002D52ED">
      <w:pPr>
        <w:spacing w:after="120" w:line="240" w:lineRule="auto"/>
        <w:jc w:val="both"/>
      </w:pPr>
      <w:r w:rsidRPr="005B0070">
        <w:rPr>
          <w:noProof/>
        </w:rPr>
        <w:pict>
          <v:shape id="obrázek 4" o:spid="_x0000_i1029" type="#_x0000_t75" style="width:402.75pt;height:294.75pt;visibility:visible">
            <v:imagedata r:id="rId13" o:title=""/>
          </v:shape>
        </w:pict>
      </w:r>
    </w:p>
    <w:p w:rsidR="00694CD8" w:rsidRPr="00D07591" w:rsidRDefault="00694CD8" w:rsidP="002D52ED">
      <w:pPr>
        <w:spacing w:after="120" w:line="240" w:lineRule="auto"/>
        <w:jc w:val="both"/>
      </w:pPr>
      <w:r w:rsidRPr="00D07591">
        <w:t xml:space="preserve">Umožnění vytvoření základu pojistného na úrovni pokladny společnosti však nabízí relativně snadný únik ze zamýšleného efektu vyššího zpojistnění příjmů vysoko příjmových zaměstnanců. Administrativní náklady na vytvoření 1 pokladny pro zaměstnance s příjmy nad maximální výpočtový základ sociálního a zdravotního pojištění jsou relativně nízké. Velká část společností by tuto možnost využila a praktický dopad návrhu na výši pojistného by byl zanedbatelný. Rozumíme, že umožnění vytvoření základu pojištění na úrovni pokladny je za současné situace vynuceno administrativními náklady společností, ale v cílovém stavu je zcela nežádoucí. </w:t>
      </w:r>
      <w:r w:rsidRPr="00D07591">
        <w:rPr>
          <w:b/>
        </w:rPr>
        <w:t>Z toho důvodu velmi doporučujeme, aby na současný návrh navazovali další komplexnější úpravy a aby po jejich provedení možnost tvořit základ pojištění na úrovni pokladny společnosti neměli</w:t>
      </w:r>
      <w:r w:rsidRPr="00D07591">
        <w:t xml:space="preserve">. Společnosti i při znemožnění vytvoření základu na úrovni pokladny stále mohou provádět daňovou optimalizaci založením oddělené firmy pro zaměstnance s příjmy nad stropem sociálního pojištění. Administrativní náklady takové optimalizace jsou však výrazně vyšší než v případě optimalizace na úrovni pokladny.  </w:t>
      </w:r>
    </w:p>
    <w:p w:rsidR="00694CD8" w:rsidRPr="00D07591" w:rsidRDefault="00694CD8" w:rsidP="002D52ED">
      <w:pPr>
        <w:spacing w:after="120" w:line="240" w:lineRule="auto"/>
        <w:jc w:val="both"/>
      </w:pPr>
      <w:r w:rsidRPr="00D07591">
        <w:t xml:space="preserve">V případě, že by všichni zaměstnavatelé platili pojistné i nad současnými stropy (tj. žádní zaměstnavatelé by nepřistoupili k daňové optimalizaci a tím se nevyhnuli povinnosti platit pojistné nad dnešními stropy) a že by hrubá mzda zaměstnanců s vysokými příjmy nereagovala na zvýšenou efektivní daňovou sazbu (nulová daňová elasticita mzdy), </w:t>
      </w:r>
      <w:r w:rsidRPr="00D07591">
        <w:rPr>
          <w:b/>
        </w:rPr>
        <w:t>pak by příjmy ze zdravotního pojištění zaměstnanců se mzdou nad stropem zdravotního pojištění placeného zaměstnavatelem vzrostli o 313 milionů na 1 773 miliony korun a příjmy ze sociálního pojištění zaměstnanců se mzdou nad stropem sociálního pojištění placeného zaměstnavatelem o 2 372 miliony na 6 332 miliony korun</w:t>
      </w:r>
      <w:r w:rsidRPr="00D07591">
        <w:rPr>
          <w:rStyle w:val="FootnoteReference"/>
          <w:b/>
        </w:rPr>
        <w:footnoteReference w:id="8"/>
      </w:r>
      <w:r w:rsidRPr="00D07591">
        <w:t xml:space="preserve">. </w:t>
      </w:r>
    </w:p>
    <w:p w:rsidR="00694CD8" w:rsidRPr="00D07591" w:rsidRDefault="00694CD8" w:rsidP="002D52ED">
      <w:pPr>
        <w:spacing w:after="120" w:line="240" w:lineRule="auto"/>
        <w:jc w:val="both"/>
      </w:pPr>
    </w:p>
    <w:p w:rsidR="00694CD8" w:rsidRPr="00D07591" w:rsidRDefault="00694CD8" w:rsidP="002D52ED">
      <w:pPr>
        <w:pStyle w:val="Caption"/>
        <w:keepNext/>
      </w:pPr>
      <w:r w:rsidRPr="00D07591">
        <w:t>Tabulka 5.3: Tabulka agregátního výběru pojistného placeného zaměstnavateli za zaměstnance se mzdou nad stropem</w:t>
      </w:r>
    </w:p>
    <w:tbl>
      <w:tblPr>
        <w:tblW w:w="5940" w:type="dxa"/>
        <w:tblInd w:w="55" w:type="dxa"/>
        <w:tblCellMar>
          <w:left w:w="70" w:type="dxa"/>
          <w:right w:w="70" w:type="dxa"/>
        </w:tblCellMar>
        <w:tblLook w:val="00A0"/>
      </w:tblPr>
      <w:tblGrid>
        <w:gridCol w:w="980"/>
        <w:gridCol w:w="1660"/>
        <w:gridCol w:w="1660"/>
        <w:gridCol w:w="1660"/>
      </w:tblGrid>
      <w:tr w:rsidR="00694CD8" w:rsidRPr="00D9298C" w:rsidTr="005733DA">
        <w:trPr>
          <w:trHeight w:val="315"/>
        </w:trPr>
        <w:tc>
          <w:tcPr>
            <w:tcW w:w="960" w:type="dxa"/>
            <w:tcBorders>
              <w:top w:val="single" w:sz="12" w:space="0" w:color="auto"/>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 </w:t>
            </w:r>
          </w:p>
        </w:tc>
        <w:tc>
          <w:tcPr>
            <w:tcW w:w="1660" w:type="dxa"/>
            <w:tcBorders>
              <w:top w:val="single" w:sz="12" w:space="0" w:color="auto"/>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současné pojis.</w:t>
            </w:r>
          </w:p>
        </w:tc>
        <w:tc>
          <w:tcPr>
            <w:tcW w:w="1660" w:type="dxa"/>
            <w:tcBorders>
              <w:top w:val="single" w:sz="12" w:space="0" w:color="auto"/>
              <w:left w:val="nil"/>
              <w:bottom w:val="nil"/>
              <w:right w:val="nil"/>
            </w:tcBorders>
            <w:noWrap/>
            <w:vAlign w:val="center"/>
          </w:tcPr>
          <w:p w:rsidR="00694CD8" w:rsidRPr="00D07591" w:rsidRDefault="00694CD8" w:rsidP="002D52ED">
            <w:pPr>
              <w:spacing w:after="0" w:line="240" w:lineRule="auto"/>
              <w:jc w:val="center"/>
              <w:rPr>
                <w:b/>
                <w:bCs/>
                <w:color w:val="000000"/>
              </w:rPr>
            </w:pPr>
            <w:r w:rsidRPr="00D07591">
              <w:rPr>
                <w:b/>
                <w:bCs/>
                <w:color w:val="000000"/>
              </w:rPr>
              <w:t>změna pojis.</w:t>
            </w:r>
          </w:p>
        </w:tc>
        <w:tc>
          <w:tcPr>
            <w:tcW w:w="1660" w:type="dxa"/>
            <w:tcBorders>
              <w:top w:val="single" w:sz="12" w:space="0" w:color="auto"/>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budoucí pojis.</w:t>
            </w:r>
          </w:p>
        </w:tc>
      </w:tr>
      <w:tr w:rsidR="00694CD8" w:rsidRPr="00D9298C" w:rsidTr="005733DA">
        <w:trPr>
          <w:trHeight w:val="300"/>
        </w:trPr>
        <w:tc>
          <w:tcPr>
            <w:tcW w:w="96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zdravotní</w:t>
            </w:r>
          </w:p>
        </w:tc>
        <w:tc>
          <w:tcPr>
            <w:tcW w:w="166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1 459 751 040</w:t>
            </w:r>
          </w:p>
        </w:tc>
        <w:tc>
          <w:tcPr>
            <w:tcW w:w="1660" w:type="dxa"/>
            <w:tcBorders>
              <w:top w:val="nil"/>
              <w:left w:val="nil"/>
              <w:bottom w:val="nil"/>
              <w:right w:val="nil"/>
            </w:tcBorders>
            <w:noWrap/>
            <w:vAlign w:val="center"/>
          </w:tcPr>
          <w:p w:rsidR="00694CD8" w:rsidRPr="00D07591" w:rsidRDefault="00694CD8" w:rsidP="002D52ED">
            <w:pPr>
              <w:spacing w:after="0" w:line="240" w:lineRule="auto"/>
              <w:jc w:val="center"/>
              <w:rPr>
                <w:b/>
                <w:bCs/>
                <w:color w:val="000000"/>
              </w:rPr>
            </w:pPr>
            <w:r w:rsidRPr="00D07591">
              <w:rPr>
                <w:b/>
                <w:bCs/>
                <w:color w:val="000000"/>
              </w:rPr>
              <w:t>313 351 040</w:t>
            </w:r>
          </w:p>
        </w:tc>
        <w:tc>
          <w:tcPr>
            <w:tcW w:w="166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1 773 102 080</w:t>
            </w:r>
          </w:p>
        </w:tc>
      </w:tr>
      <w:tr w:rsidR="00694CD8" w:rsidRPr="00D9298C" w:rsidTr="005733DA">
        <w:trPr>
          <w:trHeight w:val="315"/>
        </w:trPr>
        <w:tc>
          <w:tcPr>
            <w:tcW w:w="96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sociální</w:t>
            </w:r>
          </w:p>
        </w:tc>
        <w:tc>
          <w:tcPr>
            <w:tcW w:w="166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3 960 870 912</w:t>
            </w:r>
          </w:p>
        </w:tc>
        <w:tc>
          <w:tcPr>
            <w:tcW w:w="166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b/>
                <w:bCs/>
                <w:color w:val="000000"/>
              </w:rPr>
            </w:pPr>
            <w:r w:rsidRPr="00D07591">
              <w:rPr>
                <w:b/>
                <w:bCs/>
                <w:color w:val="000000"/>
              </w:rPr>
              <w:t>2 371 636 224</w:t>
            </w:r>
          </w:p>
        </w:tc>
        <w:tc>
          <w:tcPr>
            <w:tcW w:w="166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6 332 507 136</w:t>
            </w:r>
          </w:p>
        </w:tc>
      </w:tr>
    </w:tbl>
    <w:p w:rsidR="00694CD8" w:rsidRPr="00D07591" w:rsidRDefault="00694CD8" w:rsidP="002D52ED">
      <w:pPr>
        <w:spacing w:after="120" w:line="240" w:lineRule="auto"/>
        <w:jc w:val="both"/>
      </w:pPr>
    </w:p>
    <w:p w:rsidR="00694CD8" w:rsidRPr="00D07591" w:rsidRDefault="00694CD8" w:rsidP="002D52ED">
      <w:pPr>
        <w:spacing w:after="120" w:line="240" w:lineRule="auto"/>
        <w:jc w:val="both"/>
      </w:pPr>
      <w:r w:rsidRPr="00D07591">
        <w:t>Tabulka 5.4 prezentuje dopady změny na zaměstnance se  mzdou vyšší než současný maximální základ pro sociální, resp. zdravotní pojištění za výše uvedených předpokladů. Tabulky shrnují průměrné současné pojistné placené zaměstnavatelem</w:t>
      </w:r>
      <w:r w:rsidRPr="00D07591">
        <w:rPr>
          <w:rStyle w:val="FootnoteReference"/>
        </w:rPr>
        <w:footnoteReference w:id="9"/>
      </w:r>
      <w:r w:rsidRPr="00D07591">
        <w:t xml:space="preserve">, změnu pojistného a budoucí pojistné pro 3 skupiny zaměstnanců. V 1. skupině jsou zaměstnanci se mzdou nad 1,206 milionu korun ročně (48 násobkem průměrné mzdy, strop sociálního pojištění) a pod 1,809 milionu korun (72 násobek průměrné mzdy, strop zdravotního pojištění). Ve skupině 2 pak zaměstnanci se mzdou mezi 1,809 a 2 miliony korun ročně a ve skupině 3 pak zaměstnanci se mzdou nad 2 miliony korun ročně. Dopady na zaměstnance, jejichž mzda je nepatrně vyšší než maximální základ sociálního pojištění, jsou v řádu tisíců. U osob na druhé straně spektra, tedy u osob se mzdami výrazně nad maximálním základem zdravotního pojištění pak dopady dosahují i stovek tisíc. </w:t>
      </w:r>
    </w:p>
    <w:p w:rsidR="00694CD8" w:rsidRPr="00D07591" w:rsidRDefault="00694CD8" w:rsidP="002D52ED">
      <w:pPr>
        <w:spacing w:after="120" w:line="240" w:lineRule="auto"/>
        <w:jc w:val="both"/>
      </w:pPr>
    </w:p>
    <w:p w:rsidR="00694CD8" w:rsidRPr="00D07591" w:rsidRDefault="00694CD8" w:rsidP="002D52ED">
      <w:pPr>
        <w:spacing w:after="120" w:line="240" w:lineRule="auto"/>
        <w:jc w:val="both"/>
      </w:pPr>
    </w:p>
    <w:p w:rsidR="00694CD8" w:rsidRPr="00D07591" w:rsidRDefault="00694CD8" w:rsidP="002D52ED">
      <w:pPr>
        <w:spacing w:after="120" w:line="240" w:lineRule="auto"/>
        <w:jc w:val="both"/>
      </w:pPr>
    </w:p>
    <w:p w:rsidR="00694CD8" w:rsidRPr="00D07591" w:rsidRDefault="00694CD8" w:rsidP="002D52ED">
      <w:pPr>
        <w:spacing w:after="120" w:line="240" w:lineRule="auto"/>
        <w:jc w:val="both"/>
      </w:pPr>
    </w:p>
    <w:p w:rsidR="00694CD8" w:rsidRPr="00D07591" w:rsidRDefault="00694CD8" w:rsidP="002D52ED">
      <w:pPr>
        <w:spacing w:after="120" w:line="240" w:lineRule="auto"/>
        <w:jc w:val="both"/>
      </w:pPr>
    </w:p>
    <w:p w:rsidR="00694CD8" w:rsidRPr="00D07591" w:rsidRDefault="00694CD8" w:rsidP="002D52ED">
      <w:pPr>
        <w:pStyle w:val="Caption"/>
        <w:keepNext/>
      </w:pPr>
      <w:r w:rsidRPr="00D07591">
        <w:t>Tabulka 5.4: Výše současného, budoucí sociálního, zdravotního a celkového pojistného a jeho změny ve skupinách</w:t>
      </w:r>
    </w:p>
    <w:tbl>
      <w:tblPr>
        <w:tblW w:w="7140" w:type="dxa"/>
        <w:tblInd w:w="55" w:type="dxa"/>
        <w:tblCellMar>
          <w:left w:w="70" w:type="dxa"/>
          <w:right w:w="70" w:type="dxa"/>
        </w:tblCellMar>
        <w:tblLook w:val="00A0"/>
      </w:tblPr>
      <w:tblGrid>
        <w:gridCol w:w="1240"/>
        <w:gridCol w:w="1180"/>
        <w:gridCol w:w="1180"/>
        <w:gridCol w:w="1180"/>
        <w:gridCol w:w="1180"/>
        <w:gridCol w:w="1180"/>
      </w:tblGrid>
      <w:tr w:rsidR="00694CD8" w:rsidRPr="00D9298C" w:rsidTr="00D1188D">
        <w:trPr>
          <w:trHeight w:val="630"/>
        </w:trPr>
        <w:tc>
          <w:tcPr>
            <w:tcW w:w="1240" w:type="dxa"/>
            <w:tcBorders>
              <w:top w:val="single" w:sz="12" w:space="0" w:color="auto"/>
              <w:left w:val="nil"/>
              <w:bottom w:val="single" w:sz="12" w:space="0" w:color="auto"/>
              <w:right w:val="nil"/>
            </w:tcBorders>
            <w:noWrap/>
            <w:vAlign w:val="bottom"/>
          </w:tcPr>
          <w:p w:rsidR="00694CD8" w:rsidRPr="00D07591" w:rsidRDefault="00694CD8" w:rsidP="002D52ED">
            <w:pPr>
              <w:spacing w:after="0" w:line="240" w:lineRule="auto"/>
              <w:rPr>
                <w:color w:val="000000"/>
              </w:rPr>
            </w:pPr>
            <w:r w:rsidRPr="00D07591">
              <w:rPr>
                <w:color w:val="000000"/>
              </w:rPr>
              <w:t> </w:t>
            </w:r>
          </w:p>
        </w:tc>
        <w:tc>
          <w:tcPr>
            <w:tcW w:w="1180" w:type="dxa"/>
            <w:tcBorders>
              <w:top w:val="single" w:sz="12" w:space="0" w:color="auto"/>
              <w:left w:val="nil"/>
              <w:bottom w:val="nil"/>
              <w:right w:val="nil"/>
            </w:tcBorders>
            <w:vAlign w:val="center"/>
          </w:tcPr>
          <w:p w:rsidR="00694CD8" w:rsidRPr="00D07591" w:rsidRDefault="00694CD8" w:rsidP="002D52ED">
            <w:pPr>
              <w:spacing w:after="0" w:line="240" w:lineRule="auto"/>
              <w:jc w:val="center"/>
              <w:rPr>
                <w:color w:val="000000"/>
              </w:rPr>
            </w:pPr>
            <w:r w:rsidRPr="00D07591">
              <w:rPr>
                <w:color w:val="000000"/>
              </w:rPr>
              <w:t>skupina</w:t>
            </w:r>
          </w:p>
        </w:tc>
        <w:tc>
          <w:tcPr>
            <w:tcW w:w="1180" w:type="dxa"/>
            <w:tcBorders>
              <w:top w:val="single" w:sz="12" w:space="0" w:color="auto"/>
              <w:left w:val="nil"/>
              <w:bottom w:val="nil"/>
              <w:right w:val="nil"/>
            </w:tcBorders>
            <w:vAlign w:val="center"/>
          </w:tcPr>
          <w:p w:rsidR="00694CD8" w:rsidRPr="00D07591" w:rsidRDefault="00694CD8" w:rsidP="002D52ED">
            <w:pPr>
              <w:spacing w:after="0" w:line="240" w:lineRule="auto"/>
              <w:jc w:val="center"/>
              <w:rPr>
                <w:color w:val="000000"/>
              </w:rPr>
            </w:pPr>
            <w:r w:rsidRPr="00D07591">
              <w:rPr>
                <w:color w:val="000000"/>
              </w:rPr>
              <w:t>měsíční mzda</w:t>
            </w:r>
          </w:p>
        </w:tc>
        <w:tc>
          <w:tcPr>
            <w:tcW w:w="1180" w:type="dxa"/>
            <w:tcBorders>
              <w:top w:val="single" w:sz="12" w:space="0" w:color="auto"/>
              <w:left w:val="nil"/>
              <w:bottom w:val="nil"/>
              <w:right w:val="nil"/>
            </w:tcBorders>
            <w:vAlign w:val="center"/>
          </w:tcPr>
          <w:p w:rsidR="00694CD8" w:rsidRPr="00D07591" w:rsidRDefault="00694CD8" w:rsidP="002D52ED">
            <w:pPr>
              <w:spacing w:after="0" w:line="240" w:lineRule="auto"/>
              <w:jc w:val="center"/>
              <w:rPr>
                <w:color w:val="000000"/>
              </w:rPr>
            </w:pPr>
            <w:r w:rsidRPr="00D07591">
              <w:rPr>
                <w:color w:val="000000"/>
              </w:rPr>
              <w:t>současné pojistné</w:t>
            </w:r>
          </w:p>
        </w:tc>
        <w:tc>
          <w:tcPr>
            <w:tcW w:w="1180" w:type="dxa"/>
            <w:tcBorders>
              <w:top w:val="single" w:sz="12" w:space="0" w:color="auto"/>
              <w:left w:val="nil"/>
              <w:bottom w:val="nil"/>
              <w:right w:val="nil"/>
            </w:tcBorders>
            <w:vAlign w:val="center"/>
          </w:tcPr>
          <w:p w:rsidR="00694CD8" w:rsidRPr="00D07591" w:rsidRDefault="00694CD8" w:rsidP="002D52ED">
            <w:pPr>
              <w:spacing w:after="0" w:line="240" w:lineRule="auto"/>
              <w:jc w:val="center"/>
              <w:rPr>
                <w:color w:val="000000"/>
              </w:rPr>
            </w:pPr>
            <w:r w:rsidRPr="00D07591">
              <w:rPr>
                <w:color w:val="000000"/>
              </w:rPr>
              <w:t>změna pojistného</w:t>
            </w:r>
          </w:p>
        </w:tc>
        <w:tc>
          <w:tcPr>
            <w:tcW w:w="1180" w:type="dxa"/>
            <w:tcBorders>
              <w:top w:val="single" w:sz="12" w:space="0" w:color="auto"/>
              <w:left w:val="nil"/>
              <w:bottom w:val="nil"/>
              <w:right w:val="nil"/>
            </w:tcBorders>
            <w:vAlign w:val="center"/>
          </w:tcPr>
          <w:p w:rsidR="00694CD8" w:rsidRPr="00D07591" w:rsidRDefault="00694CD8" w:rsidP="002D52ED">
            <w:pPr>
              <w:spacing w:after="0" w:line="240" w:lineRule="auto"/>
              <w:jc w:val="center"/>
              <w:rPr>
                <w:color w:val="000000"/>
              </w:rPr>
            </w:pPr>
            <w:r w:rsidRPr="00D07591">
              <w:rPr>
                <w:color w:val="000000"/>
              </w:rPr>
              <w:t>budoucí pojistné</w:t>
            </w:r>
          </w:p>
        </w:tc>
      </w:tr>
      <w:tr w:rsidR="00694CD8" w:rsidRPr="00D9298C" w:rsidTr="00D1188D">
        <w:trPr>
          <w:trHeight w:val="315"/>
        </w:trPr>
        <w:tc>
          <w:tcPr>
            <w:tcW w:w="1240" w:type="dxa"/>
            <w:vMerge w:val="restart"/>
            <w:tcBorders>
              <w:top w:val="single" w:sz="12" w:space="0" w:color="auto"/>
              <w:left w:val="nil"/>
              <w:bottom w:val="single" w:sz="12" w:space="0" w:color="000000"/>
              <w:right w:val="nil"/>
            </w:tcBorders>
            <w:noWrap/>
            <w:vAlign w:val="center"/>
          </w:tcPr>
          <w:p w:rsidR="00694CD8" w:rsidRPr="00D07591" w:rsidRDefault="00694CD8" w:rsidP="002D52ED">
            <w:pPr>
              <w:spacing w:after="0" w:line="240" w:lineRule="auto"/>
              <w:jc w:val="center"/>
              <w:rPr>
                <w:color w:val="000000"/>
              </w:rPr>
            </w:pPr>
            <w:r w:rsidRPr="00D07591">
              <w:rPr>
                <w:color w:val="000000"/>
              </w:rPr>
              <w:t>zdravotní p.</w:t>
            </w:r>
          </w:p>
        </w:tc>
        <w:tc>
          <w:tcPr>
            <w:tcW w:w="1180" w:type="dxa"/>
            <w:tcBorders>
              <w:top w:val="single" w:sz="12" w:space="0" w:color="auto"/>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2</w:t>
            </w:r>
          </w:p>
        </w:tc>
        <w:tc>
          <w:tcPr>
            <w:tcW w:w="1180" w:type="dxa"/>
            <w:tcBorders>
              <w:top w:val="single" w:sz="12" w:space="0" w:color="auto"/>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156 564</w:t>
            </w:r>
          </w:p>
        </w:tc>
        <w:tc>
          <w:tcPr>
            <w:tcW w:w="1180" w:type="dxa"/>
            <w:tcBorders>
              <w:top w:val="single" w:sz="12" w:space="0" w:color="auto"/>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126 691</w:t>
            </w:r>
          </w:p>
        </w:tc>
        <w:tc>
          <w:tcPr>
            <w:tcW w:w="1180" w:type="dxa"/>
            <w:tcBorders>
              <w:top w:val="single" w:sz="12" w:space="0" w:color="auto"/>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4 824</w:t>
            </w:r>
          </w:p>
        </w:tc>
        <w:tc>
          <w:tcPr>
            <w:tcW w:w="1180" w:type="dxa"/>
            <w:tcBorders>
              <w:top w:val="single" w:sz="12" w:space="0" w:color="auto"/>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131 514</w:t>
            </w:r>
          </w:p>
        </w:tc>
      </w:tr>
      <w:tr w:rsidR="00694CD8" w:rsidRPr="00D9298C" w:rsidTr="00D1188D">
        <w:trPr>
          <w:trHeight w:val="300"/>
        </w:trPr>
        <w:tc>
          <w:tcPr>
            <w:tcW w:w="1240" w:type="dxa"/>
            <w:vMerge/>
            <w:tcBorders>
              <w:top w:val="single" w:sz="12" w:space="0" w:color="auto"/>
              <w:left w:val="nil"/>
              <w:bottom w:val="single" w:sz="12" w:space="0" w:color="000000"/>
              <w:right w:val="nil"/>
            </w:tcBorders>
            <w:vAlign w:val="center"/>
          </w:tcPr>
          <w:p w:rsidR="00694CD8" w:rsidRPr="00D07591" w:rsidRDefault="00694CD8" w:rsidP="002D52ED">
            <w:pPr>
              <w:spacing w:after="0" w:line="240" w:lineRule="auto"/>
              <w:rPr>
                <w:color w:val="000000"/>
              </w:rPr>
            </w:pPr>
          </w:p>
        </w:tc>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3</w:t>
            </w:r>
          </w:p>
        </w:tc>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271 611</w:t>
            </w:r>
          </w:p>
        </w:tc>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126 691</w:t>
            </w:r>
          </w:p>
        </w:tc>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101 463</w:t>
            </w:r>
          </w:p>
        </w:tc>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228 154</w:t>
            </w:r>
          </w:p>
        </w:tc>
      </w:tr>
      <w:tr w:rsidR="00694CD8" w:rsidRPr="00D9298C" w:rsidTr="00D1188D">
        <w:trPr>
          <w:trHeight w:val="315"/>
        </w:trPr>
        <w:tc>
          <w:tcPr>
            <w:tcW w:w="1240" w:type="dxa"/>
            <w:vMerge/>
            <w:tcBorders>
              <w:top w:val="single" w:sz="12" w:space="0" w:color="auto"/>
              <w:left w:val="nil"/>
              <w:bottom w:val="single" w:sz="12" w:space="0" w:color="000000"/>
              <w:right w:val="nil"/>
            </w:tcBorders>
            <w:vAlign w:val="center"/>
          </w:tcPr>
          <w:p w:rsidR="00694CD8" w:rsidRPr="00D07591" w:rsidRDefault="00694CD8" w:rsidP="002D52ED">
            <w:pPr>
              <w:spacing w:after="0" w:line="240" w:lineRule="auto"/>
              <w:rPr>
                <w:color w:val="000000"/>
              </w:rPr>
            </w:pPr>
          </w:p>
        </w:tc>
        <w:tc>
          <w:tcPr>
            <w:tcW w:w="118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Průměr</w:t>
            </w:r>
          </w:p>
        </w:tc>
        <w:tc>
          <w:tcPr>
            <w:tcW w:w="118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213 986</w:t>
            </w:r>
          </w:p>
        </w:tc>
        <w:tc>
          <w:tcPr>
            <w:tcW w:w="118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126 691</w:t>
            </w:r>
          </w:p>
        </w:tc>
        <w:tc>
          <w:tcPr>
            <w:tcW w:w="118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53 058</w:t>
            </w:r>
          </w:p>
        </w:tc>
        <w:tc>
          <w:tcPr>
            <w:tcW w:w="118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179 749</w:t>
            </w:r>
          </w:p>
        </w:tc>
      </w:tr>
      <w:tr w:rsidR="00694CD8" w:rsidRPr="00D9298C" w:rsidTr="00D1188D">
        <w:trPr>
          <w:trHeight w:val="315"/>
        </w:trPr>
        <w:tc>
          <w:tcPr>
            <w:tcW w:w="1240" w:type="dxa"/>
            <w:vMerge w:val="restart"/>
            <w:tcBorders>
              <w:top w:val="single" w:sz="12" w:space="0" w:color="auto"/>
              <w:left w:val="nil"/>
              <w:bottom w:val="single" w:sz="12" w:space="0" w:color="000000"/>
              <w:right w:val="nil"/>
            </w:tcBorders>
            <w:noWrap/>
            <w:vAlign w:val="center"/>
          </w:tcPr>
          <w:p w:rsidR="00694CD8" w:rsidRPr="00D07591" w:rsidRDefault="00694CD8" w:rsidP="002D52ED">
            <w:pPr>
              <w:spacing w:after="0" w:line="240" w:lineRule="auto"/>
              <w:jc w:val="center"/>
              <w:rPr>
                <w:color w:val="000000"/>
              </w:rPr>
            </w:pPr>
            <w:r w:rsidRPr="00D07591">
              <w:rPr>
                <w:color w:val="000000"/>
              </w:rPr>
              <w:t>sociální p.</w:t>
            </w:r>
          </w:p>
        </w:tc>
        <w:tc>
          <w:tcPr>
            <w:tcW w:w="1180" w:type="dxa"/>
            <w:tcBorders>
              <w:top w:val="single" w:sz="12" w:space="0" w:color="auto"/>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w:t>
            </w:r>
          </w:p>
        </w:tc>
        <w:tc>
          <w:tcPr>
            <w:tcW w:w="1180" w:type="dxa"/>
            <w:tcBorders>
              <w:top w:val="single" w:sz="12" w:space="0" w:color="auto"/>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116 982</w:t>
            </w:r>
          </w:p>
        </w:tc>
        <w:tc>
          <w:tcPr>
            <w:tcW w:w="1180" w:type="dxa"/>
            <w:tcBorders>
              <w:top w:val="single" w:sz="12" w:space="0" w:color="auto"/>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301 643</w:t>
            </w:r>
          </w:p>
        </w:tc>
        <w:tc>
          <w:tcPr>
            <w:tcW w:w="1180" w:type="dxa"/>
            <w:tcBorders>
              <w:top w:val="single" w:sz="12" w:space="0" w:color="auto"/>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49 302</w:t>
            </w:r>
          </w:p>
        </w:tc>
        <w:tc>
          <w:tcPr>
            <w:tcW w:w="1180" w:type="dxa"/>
            <w:tcBorders>
              <w:top w:val="single" w:sz="12" w:space="0" w:color="auto"/>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350 945</w:t>
            </w:r>
          </w:p>
        </w:tc>
      </w:tr>
      <w:tr w:rsidR="00694CD8" w:rsidRPr="00D9298C" w:rsidTr="00D1188D">
        <w:trPr>
          <w:trHeight w:val="300"/>
        </w:trPr>
        <w:tc>
          <w:tcPr>
            <w:tcW w:w="1240" w:type="dxa"/>
            <w:vMerge/>
            <w:tcBorders>
              <w:top w:val="single" w:sz="12" w:space="0" w:color="auto"/>
              <w:left w:val="nil"/>
              <w:bottom w:val="single" w:sz="12" w:space="0" w:color="000000"/>
              <w:right w:val="nil"/>
            </w:tcBorders>
            <w:vAlign w:val="center"/>
          </w:tcPr>
          <w:p w:rsidR="00694CD8" w:rsidRPr="00D07591" w:rsidRDefault="00694CD8" w:rsidP="002D52ED">
            <w:pPr>
              <w:spacing w:after="0" w:line="240" w:lineRule="auto"/>
              <w:rPr>
                <w:color w:val="000000"/>
              </w:rPr>
            </w:pPr>
          </w:p>
        </w:tc>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2</w:t>
            </w:r>
          </w:p>
        </w:tc>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156 564</w:t>
            </w:r>
          </w:p>
        </w:tc>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301 643</w:t>
            </w:r>
          </w:p>
        </w:tc>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168 050</w:t>
            </w:r>
          </w:p>
        </w:tc>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469 693</w:t>
            </w:r>
          </w:p>
        </w:tc>
      </w:tr>
      <w:tr w:rsidR="00694CD8" w:rsidRPr="00D9298C" w:rsidTr="00D1188D">
        <w:trPr>
          <w:trHeight w:val="300"/>
        </w:trPr>
        <w:tc>
          <w:tcPr>
            <w:tcW w:w="1240" w:type="dxa"/>
            <w:vMerge/>
            <w:tcBorders>
              <w:top w:val="single" w:sz="12" w:space="0" w:color="auto"/>
              <w:left w:val="nil"/>
              <w:bottom w:val="single" w:sz="12" w:space="0" w:color="000000"/>
              <w:right w:val="nil"/>
            </w:tcBorders>
            <w:vAlign w:val="center"/>
          </w:tcPr>
          <w:p w:rsidR="00694CD8" w:rsidRPr="00D07591" w:rsidRDefault="00694CD8" w:rsidP="002D52ED">
            <w:pPr>
              <w:spacing w:after="0" w:line="240" w:lineRule="auto"/>
              <w:rPr>
                <w:color w:val="000000"/>
              </w:rPr>
            </w:pPr>
          </w:p>
        </w:tc>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3</w:t>
            </w:r>
          </w:p>
        </w:tc>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271 611</w:t>
            </w:r>
          </w:p>
        </w:tc>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301 643</w:t>
            </w:r>
          </w:p>
        </w:tc>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513 192</w:t>
            </w:r>
          </w:p>
        </w:tc>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814 834</w:t>
            </w:r>
          </w:p>
        </w:tc>
      </w:tr>
      <w:tr w:rsidR="00694CD8" w:rsidRPr="00D9298C" w:rsidTr="00D1188D">
        <w:trPr>
          <w:trHeight w:val="315"/>
        </w:trPr>
        <w:tc>
          <w:tcPr>
            <w:tcW w:w="1240" w:type="dxa"/>
            <w:vMerge/>
            <w:tcBorders>
              <w:top w:val="single" w:sz="12" w:space="0" w:color="auto"/>
              <w:left w:val="nil"/>
              <w:bottom w:val="single" w:sz="12" w:space="0" w:color="000000"/>
              <w:right w:val="nil"/>
            </w:tcBorders>
            <w:vAlign w:val="center"/>
          </w:tcPr>
          <w:p w:rsidR="00694CD8" w:rsidRPr="00D07591" w:rsidRDefault="00694CD8" w:rsidP="002D52ED">
            <w:pPr>
              <w:spacing w:after="0" w:line="240" w:lineRule="auto"/>
              <w:rPr>
                <w:color w:val="000000"/>
              </w:rPr>
            </w:pPr>
          </w:p>
        </w:tc>
        <w:tc>
          <w:tcPr>
            <w:tcW w:w="118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Průměr</w:t>
            </w:r>
          </w:p>
        </w:tc>
        <w:tc>
          <w:tcPr>
            <w:tcW w:w="118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160747</w:t>
            </w:r>
          </w:p>
        </w:tc>
        <w:tc>
          <w:tcPr>
            <w:tcW w:w="118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301 643</w:t>
            </w:r>
          </w:p>
        </w:tc>
        <w:tc>
          <w:tcPr>
            <w:tcW w:w="118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180 608</w:t>
            </w:r>
          </w:p>
        </w:tc>
        <w:tc>
          <w:tcPr>
            <w:tcW w:w="118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482 241</w:t>
            </w:r>
          </w:p>
        </w:tc>
      </w:tr>
      <w:tr w:rsidR="00694CD8" w:rsidRPr="00D9298C" w:rsidTr="00D1188D">
        <w:trPr>
          <w:trHeight w:val="315"/>
        </w:trPr>
        <w:tc>
          <w:tcPr>
            <w:tcW w:w="1240" w:type="dxa"/>
            <w:vMerge w:val="restart"/>
            <w:tcBorders>
              <w:top w:val="single" w:sz="12" w:space="0" w:color="auto"/>
              <w:left w:val="nil"/>
              <w:bottom w:val="single" w:sz="12" w:space="0" w:color="000000"/>
              <w:right w:val="nil"/>
            </w:tcBorders>
            <w:noWrap/>
            <w:vAlign w:val="center"/>
          </w:tcPr>
          <w:p w:rsidR="00694CD8" w:rsidRPr="00D07591" w:rsidRDefault="00694CD8" w:rsidP="002D52ED">
            <w:pPr>
              <w:spacing w:after="0" w:line="240" w:lineRule="auto"/>
              <w:jc w:val="center"/>
              <w:rPr>
                <w:color w:val="000000"/>
              </w:rPr>
            </w:pPr>
            <w:r w:rsidRPr="00D07591">
              <w:rPr>
                <w:color w:val="000000"/>
              </w:rPr>
              <w:t>celkové p.</w:t>
            </w:r>
          </w:p>
        </w:tc>
        <w:tc>
          <w:tcPr>
            <w:tcW w:w="1180" w:type="dxa"/>
            <w:tcBorders>
              <w:top w:val="single" w:sz="12" w:space="0" w:color="auto"/>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w:t>
            </w:r>
          </w:p>
        </w:tc>
        <w:tc>
          <w:tcPr>
            <w:tcW w:w="1180" w:type="dxa"/>
            <w:tcBorders>
              <w:top w:val="single" w:sz="12" w:space="0" w:color="auto"/>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116 982</w:t>
            </w:r>
          </w:p>
        </w:tc>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399 907</w:t>
            </w:r>
          </w:p>
        </w:tc>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49 302</w:t>
            </w:r>
          </w:p>
        </w:tc>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449 210</w:t>
            </w:r>
          </w:p>
        </w:tc>
      </w:tr>
      <w:tr w:rsidR="00694CD8" w:rsidRPr="00D9298C" w:rsidTr="00D1188D">
        <w:trPr>
          <w:trHeight w:val="300"/>
        </w:trPr>
        <w:tc>
          <w:tcPr>
            <w:tcW w:w="1240" w:type="dxa"/>
            <w:vMerge/>
            <w:tcBorders>
              <w:top w:val="single" w:sz="12" w:space="0" w:color="auto"/>
              <w:left w:val="nil"/>
              <w:bottom w:val="single" w:sz="12" w:space="0" w:color="000000"/>
              <w:right w:val="nil"/>
            </w:tcBorders>
            <w:vAlign w:val="center"/>
          </w:tcPr>
          <w:p w:rsidR="00694CD8" w:rsidRPr="00D07591" w:rsidRDefault="00694CD8" w:rsidP="002D52ED">
            <w:pPr>
              <w:spacing w:after="0" w:line="240" w:lineRule="auto"/>
              <w:rPr>
                <w:color w:val="000000"/>
              </w:rPr>
            </w:pPr>
          </w:p>
        </w:tc>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2</w:t>
            </w:r>
          </w:p>
        </w:tc>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156 564</w:t>
            </w:r>
          </w:p>
        </w:tc>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428 333</w:t>
            </w:r>
          </w:p>
        </w:tc>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172 874</w:t>
            </w:r>
          </w:p>
        </w:tc>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601 207</w:t>
            </w:r>
          </w:p>
        </w:tc>
      </w:tr>
      <w:tr w:rsidR="00694CD8" w:rsidRPr="00D9298C" w:rsidTr="00D1188D">
        <w:trPr>
          <w:trHeight w:val="300"/>
        </w:trPr>
        <w:tc>
          <w:tcPr>
            <w:tcW w:w="1240" w:type="dxa"/>
            <w:vMerge/>
            <w:tcBorders>
              <w:top w:val="single" w:sz="12" w:space="0" w:color="auto"/>
              <w:left w:val="nil"/>
              <w:bottom w:val="single" w:sz="12" w:space="0" w:color="000000"/>
              <w:right w:val="nil"/>
            </w:tcBorders>
            <w:vAlign w:val="center"/>
          </w:tcPr>
          <w:p w:rsidR="00694CD8" w:rsidRPr="00D07591" w:rsidRDefault="00694CD8" w:rsidP="002D52ED">
            <w:pPr>
              <w:spacing w:after="0" w:line="240" w:lineRule="auto"/>
              <w:rPr>
                <w:color w:val="000000"/>
              </w:rPr>
            </w:pPr>
          </w:p>
        </w:tc>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3</w:t>
            </w:r>
          </w:p>
        </w:tc>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271 611</w:t>
            </w:r>
          </w:p>
        </w:tc>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428 333</w:t>
            </w:r>
          </w:p>
        </w:tc>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614 655</w:t>
            </w:r>
          </w:p>
        </w:tc>
        <w:tc>
          <w:tcPr>
            <w:tcW w:w="11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1 042 988</w:t>
            </w:r>
          </w:p>
        </w:tc>
      </w:tr>
      <w:tr w:rsidR="00694CD8" w:rsidRPr="00D9298C" w:rsidTr="00D1188D">
        <w:trPr>
          <w:trHeight w:val="315"/>
        </w:trPr>
        <w:tc>
          <w:tcPr>
            <w:tcW w:w="1240" w:type="dxa"/>
            <w:vMerge/>
            <w:tcBorders>
              <w:top w:val="single" w:sz="12" w:space="0" w:color="auto"/>
              <w:left w:val="nil"/>
              <w:bottom w:val="single" w:sz="12" w:space="0" w:color="000000"/>
              <w:right w:val="nil"/>
            </w:tcBorders>
            <w:vAlign w:val="center"/>
          </w:tcPr>
          <w:p w:rsidR="00694CD8" w:rsidRPr="00D07591" w:rsidRDefault="00694CD8" w:rsidP="002D52ED">
            <w:pPr>
              <w:spacing w:after="0" w:line="240" w:lineRule="auto"/>
              <w:rPr>
                <w:color w:val="000000"/>
              </w:rPr>
            </w:pPr>
          </w:p>
        </w:tc>
        <w:tc>
          <w:tcPr>
            <w:tcW w:w="118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Průměr</w:t>
            </w:r>
          </w:p>
        </w:tc>
        <w:tc>
          <w:tcPr>
            <w:tcW w:w="118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160747</w:t>
            </w:r>
          </w:p>
        </w:tc>
        <w:tc>
          <w:tcPr>
            <w:tcW w:w="118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412 798</w:t>
            </w:r>
          </w:p>
        </w:tc>
        <w:tc>
          <w:tcPr>
            <w:tcW w:w="118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204 471</w:t>
            </w:r>
          </w:p>
        </w:tc>
        <w:tc>
          <w:tcPr>
            <w:tcW w:w="118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617 269</w:t>
            </w:r>
          </w:p>
        </w:tc>
      </w:tr>
    </w:tbl>
    <w:p w:rsidR="00694CD8" w:rsidRPr="00D07591" w:rsidRDefault="00694CD8" w:rsidP="002D52ED">
      <w:pPr>
        <w:spacing w:line="240" w:lineRule="auto"/>
        <w:jc w:val="both"/>
        <w:rPr>
          <w:lang w:eastAsia="en-US"/>
        </w:rPr>
      </w:pPr>
    </w:p>
    <w:p w:rsidR="00694CD8" w:rsidRPr="00D07591" w:rsidRDefault="00694CD8" w:rsidP="002D52ED">
      <w:pPr>
        <w:spacing w:line="240" w:lineRule="auto"/>
        <w:jc w:val="both"/>
        <w:rPr>
          <w:lang w:eastAsia="en-US"/>
        </w:rPr>
      </w:pPr>
      <w:r w:rsidRPr="00D07591">
        <w:rPr>
          <w:lang w:eastAsia="en-US"/>
        </w:rPr>
        <w:t>Předchozí výpočet udává horní hranici možného zvýšení pojistného, neboť předpokládá nulovou změnu hrubých mezd zaměstnanců nad stropy pojistného. Ve skutečnosti tito zaměstnanci najdou cesty, jak daňově optimalizovat. Část mezd nad dnešními stropy pojistného se přesune do jiných, daňově výhodnějších forem kompenzace. Výši poklesu hrubých mezd nelze z českých dat přímo odhadnout, proto používáme alespoň hrubý odhad vycházející ze zahraniční literatury. Snížení příjmů v důsledku zvýšení mezní daňové sazby vyjadřuje koncept elasticity daňového základu.</w:t>
      </w:r>
      <w:r w:rsidRPr="00D07591">
        <w:rPr>
          <w:rStyle w:val="FootnoteReference"/>
          <w:lang w:eastAsia="en-US"/>
        </w:rPr>
        <w:footnoteReference w:id="10"/>
      </w:r>
      <w:r w:rsidRPr="00D07591">
        <w:rPr>
          <w:lang w:eastAsia="en-US"/>
        </w:rPr>
        <w:t xml:space="preserve"> Odhady této elasticity u vysoko příjmových osob se v zahraniční literatuře pohybují v intervalu 0,15-1,00, přičemž 0,4 je poslední dobou považováno za „konsenzuální“ hodnotu. Ve výpočtu proto předpokládáme elasticitu 0,4 – tato hodnota </w:t>
      </w:r>
      <w:r w:rsidRPr="00D07591">
        <w:rPr>
          <w:i/>
          <w:lang w:eastAsia="en-US"/>
        </w:rPr>
        <w:t>ne</w:t>
      </w:r>
      <w:r w:rsidRPr="00D07591">
        <w:rPr>
          <w:lang w:eastAsia="en-US"/>
        </w:rPr>
        <w:t xml:space="preserve">předpokládá možnost optimalizace v podobě speciální pokladny.  Mezní daňová sazba u osob nad stropem sociálního pojištění se změní z 29,9% na 43,1% a u osob nad oběma stropy se změní z 19% na 38,6%. </w:t>
      </w:r>
    </w:p>
    <w:p w:rsidR="00694CD8" w:rsidRPr="00D07591" w:rsidRDefault="00694CD8" w:rsidP="002D52ED">
      <w:pPr>
        <w:spacing w:line="240" w:lineRule="auto"/>
        <w:jc w:val="both"/>
        <w:rPr>
          <w:lang w:eastAsia="en-US"/>
        </w:rPr>
      </w:pPr>
      <w:r w:rsidRPr="00D07591">
        <w:rPr>
          <w:lang w:eastAsia="en-US"/>
        </w:rPr>
        <w:t xml:space="preserve">Za předpokladu přizpůsobení hrubých mezd (ale bez optimalizace pomocí speciální pokladny pro vysoko příjmové zaměstnance) by </w:t>
      </w:r>
      <w:r w:rsidRPr="00D07591">
        <w:rPr>
          <w:b/>
        </w:rPr>
        <w:t>příjmy ze zdravotního pojištění zaměstnanců se mzdou nad stropem zdravotního pojištění placeného zaměstnavatelem vzrostli o 248 milionů na 1 708 milionů korun a příjmy ze sociálního pojištění zaměstnanců se mzdou nad stropem sociálního pojištění placeného zaměstnavatelem o 2 140 milionů na 6 100 milionů korun</w:t>
      </w:r>
      <w:r w:rsidRPr="00D07591">
        <w:rPr>
          <w:rStyle w:val="FootnoteReference"/>
          <w:b/>
        </w:rPr>
        <w:footnoteReference w:id="11"/>
      </w:r>
      <w:r w:rsidRPr="00D07591">
        <w:rPr>
          <w:b/>
        </w:rPr>
        <w:t>,</w:t>
      </w:r>
      <w:r w:rsidRPr="00D07591">
        <w:t xml:space="preserve"> jak ukazuje tabulka 5.5. </w:t>
      </w:r>
      <w:r w:rsidRPr="00D07591">
        <w:rPr>
          <w:lang w:eastAsia="en-US"/>
        </w:rPr>
        <w:t>Logicky výběr bude nižší než bez přizpůsobení. Zároveň dojde i k poklesu výběru daně z příjmů fyzických osob o 75 milionů.</w:t>
      </w:r>
    </w:p>
    <w:p w:rsidR="00694CD8" w:rsidRPr="00D07591" w:rsidRDefault="00694CD8" w:rsidP="002D52ED">
      <w:pPr>
        <w:pStyle w:val="Caption"/>
        <w:keepNext/>
      </w:pPr>
      <w:r w:rsidRPr="00D07591">
        <w:t xml:space="preserve">Tabulka 5.5: Tabulka agregátního výběru pojistného placeného zaměstnavateli za zaměstnance se mzdou nad stropem </w:t>
      </w:r>
    </w:p>
    <w:tbl>
      <w:tblPr>
        <w:tblW w:w="6520" w:type="dxa"/>
        <w:tblInd w:w="55" w:type="dxa"/>
        <w:tblCellMar>
          <w:left w:w="70" w:type="dxa"/>
          <w:right w:w="70" w:type="dxa"/>
        </w:tblCellMar>
        <w:tblLook w:val="00A0"/>
      </w:tblPr>
      <w:tblGrid>
        <w:gridCol w:w="1540"/>
        <w:gridCol w:w="1660"/>
        <w:gridCol w:w="1660"/>
        <w:gridCol w:w="1660"/>
      </w:tblGrid>
      <w:tr w:rsidR="00694CD8" w:rsidRPr="00D9298C" w:rsidTr="0045175F">
        <w:trPr>
          <w:trHeight w:val="315"/>
        </w:trPr>
        <w:tc>
          <w:tcPr>
            <w:tcW w:w="1540" w:type="dxa"/>
            <w:tcBorders>
              <w:top w:val="single" w:sz="12" w:space="0" w:color="auto"/>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 </w:t>
            </w:r>
          </w:p>
        </w:tc>
        <w:tc>
          <w:tcPr>
            <w:tcW w:w="1660" w:type="dxa"/>
            <w:tcBorders>
              <w:top w:val="single" w:sz="12" w:space="0" w:color="auto"/>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současné pojis.</w:t>
            </w:r>
          </w:p>
        </w:tc>
        <w:tc>
          <w:tcPr>
            <w:tcW w:w="1660" w:type="dxa"/>
            <w:tcBorders>
              <w:top w:val="single" w:sz="12" w:space="0" w:color="auto"/>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změna pojis.</w:t>
            </w:r>
          </w:p>
        </w:tc>
        <w:tc>
          <w:tcPr>
            <w:tcW w:w="1660" w:type="dxa"/>
            <w:tcBorders>
              <w:top w:val="single" w:sz="12" w:space="0" w:color="auto"/>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budoucí pojis.</w:t>
            </w:r>
          </w:p>
        </w:tc>
      </w:tr>
      <w:tr w:rsidR="00694CD8" w:rsidRPr="00D9298C" w:rsidTr="0045175F">
        <w:trPr>
          <w:trHeight w:val="300"/>
        </w:trPr>
        <w:tc>
          <w:tcPr>
            <w:tcW w:w="154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zdravotní</w:t>
            </w:r>
          </w:p>
        </w:tc>
        <w:tc>
          <w:tcPr>
            <w:tcW w:w="166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1 459 751 040</w:t>
            </w:r>
          </w:p>
        </w:tc>
        <w:tc>
          <w:tcPr>
            <w:tcW w:w="166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248 514 016</w:t>
            </w:r>
          </w:p>
        </w:tc>
        <w:tc>
          <w:tcPr>
            <w:tcW w:w="166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1 708 264 960</w:t>
            </w:r>
          </w:p>
        </w:tc>
      </w:tr>
      <w:tr w:rsidR="00694CD8" w:rsidRPr="00D9298C" w:rsidTr="0045175F">
        <w:trPr>
          <w:trHeight w:val="315"/>
        </w:trPr>
        <w:tc>
          <w:tcPr>
            <w:tcW w:w="154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sociální</w:t>
            </w:r>
          </w:p>
        </w:tc>
        <w:tc>
          <w:tcPr>
            <w:tcW w:w="166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3 960 870 912</w:t>
            </w:r>
          </w:p>
        </w:tc>
        <w:tc>
          <w:tcPr>
            <w:tcW w:w="166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2 140 075 520</w:t>
            </w:r>
          </w:p>
        </w:tc>
        <w:tc>
          <w:tcPr>
            <w:tcW w:w="166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6 100 946 432</w:t>
            </w:r>
          </w:p>
        </w:tc>
      </w:tr>
    </w:tbl>
    <w:p w:rsidR="00694CD8" w:rsidRPr="00D07591" w:rsidRDefault="00694CD8" w:rsidP="002D52ED">
      <w:pPr>
        <w:spacing w:line="240" w:lineRule="auto"/>
        <w:rPr>
          <w:lang w:eastAsia="en-US"/>
        </w:rPr>
      </w:pPr>
    </w:p>
    <w:p w:rsidR="00694CD8" w:rsidRPr="00D07591" w:rsidRDefault="00694CD8" w:rsidP="002D52ED">
      <w:pPr>
        <w:spacing w:line="240" w:lineRule="auto"/>
        <w:jc w:val="both"/>
        <w:rPr>
          <w:lang w:eastAsia="en-US"/>
        </w:rPr>
      </w:pPr>
      <w:r w:rsidRPr="00D07591">
        <w:rPr>
          <w:lang w:eastAsia="en-US"/>
        </w:rPr>
        <w:t>Dopady na jednotlivé skupiny vysoko příjmových zaměstnanců jsou pak shrnuty v tabulce 5.6. Nárůsty placeného pojistného jsou pak v řádu tisíců (pro zaměstnance se mzdou nepatrně nad 1,206 milionu korun) až stovek tisíc korun (pro zaměstnance se mzdou výrazně nad 1,809 milionůkorun).</w:t>
      </w:r>
    </w:p>
    <w:p w:rsidR="00694CD8" w:rsidRPr="00D07591" w:rsidRDefault="00694CD8" w:rsidP="002D52ED">
      <w:pPr>
        <w:pStyle w:val="Caption"/>
        <w:keepNext/>
      </w:pPr>
      <w:r w:rsidRPr="00D07591">
        <w:t>Tabulka 5.6: Výše současného, budoucí sociálního, zdravotního a celkového pojištění a jeho změny ve skupinách</w:t>
      </w:r>
    </w:p>
    <w:tbl>
      <w:tblPr>
        <w:tblW w:w="6372" w:type="dxa"/>
        <w:tblInd w:w="55" w:type="dxa"/>
        <w:tblCellMar>
          <w:left w:w="70" w:type="dxa"/>
          <w:right w:w="70" w:type="dxa"/>
        </w:tblCellMar>
        <w:tblLook w:val="00A0"/>
      </w:tblPr>
      <w:tblGrid>
        <w:gridCol w:w="1291"/>
        <w:gridCol w:w="869"/>
        <w:gridCol w:w="980"/>
        <w:gridCol w:w="1020"/>
        <w:gridCol w:w="1116"/>
        <w:gridCol w:w="1120"/>
      </w:tblGrid>
      <w:tr w:rsidR="00694CD8" w:rsidRPr="00D9298C" w:rsidTr="0045175F">
        <w:trPr>
          <w:trHeight w:val="930"/>
        </w:trPr>
        <w:tc>
          <w:tcPr>
            <w:tcW w:w="1291" w:type="dxa"/>
            <w:tcBorders>
              <w:top w:val="single" w:sz="12" w:space="0" w:color="auto"/>
              <w:left w:val="nil"/>
              <w:bottom w:val="single" w:sz="12" w:space="0" w:color="auto"/>
              <w:right w:val="nil"/>
            </w:tcBorders>
            <w:noWrap/>
            <w:vAlign w:val="bottom"/>
          </w:tcPr>
          <w:p w:rsidR="00694CD8" w:rsidRPr="00D07591" w:rsidRDefault="00694CD8" w:rsidP="002D52ED">
            <w:pPr>
              <w:spacing w:after="0" w:line="240" w:lineRule="auto"/>
              <w:rPr>
                <w:color w:val="000000"/>
              </w:rPr>
            </w:pPr>
            <w:r w:rsidRPr="00D07591">
              <w:rPr>
                <w:color w:val="000000"/>
              </w:rPr>
              <w:t> </w:t>
            </w:r>
          </w:p>
        </w:tc>
        <w:tc>
          <w:tcPr>
            <w:tcW w:w="869" w:type="dxa"/>
            <w:tcBorders>
              <w:top w:val="single" w:sz="12" w:space="0" w:color="auto"/>
              <w:left w:val="nil"/>
              <w:bottom w:val="nil"/>
              <w:right w:val="nil"/>
            </w:tcBorders>
            <w:vAlign w:val="center"/>
          </w:tcPr>
          <w:p w:rsidR="00694CD8" w:rsidRPr="00D07591" w:rsidRDefault="00694CD8" w:rsidP="002D52ED">
            <w:pPr>
              <w:spacing w:after="0" w:line="240" w:lineRule="auto"/>
              <w:jc w:val="center"/>
              <w:rPr>
                <w:color w:val="000000"/>
              </w:rPr>
            </w:pPr>
            <w:r w:rsidRPr="00D07591">
              <w:rPr>
                <w:color w:val="000000"/>
              </w:rPr>
              <w:t>skupina</w:t>
            </w:r>
          </w:p>
        </w:tc>
        <w:tc>
          <w:tcPr>
            <w:tcW w:w="980" w:type="dxa"/>
            <w:tcBorders>
              <w:top w:val="single" w:sz="12" w:space="0" w:color="auto"/>
              <w:left w:val="nil"/>
              <w:bottom w:val="nil"/>
              <w:right w:val="nil"/>
            </w:tcBorders>
            <w:vAlign w:val="center"/>
          </w:tcPr>
          <w:p w:rsidR="00694CD8" w:rsidRPr="00D07591" w:rsidRDefault="00694CD8" w:rsidP="002D52ED">
            <w:pPr>
              <w:spacing w:after="0" w:line="240" w:lineRule="auto"/>
              <w:jc w:val="center"/>
              <w:rPr>
                <w:color w:val="000000"/>
              </w:rPr>
            </w:pPr>
            <w:r w:rsidRPr="00D07591">
              <w:rPr>
                <w:color w:val="000000"/>
              </w:rPr>
              <w:t>měsíční mzda</w:t>
            </w:r>
          </w:p>
        </w:tc>
        <w:tc>
          <w:tcPr>
            <w:tcW w:w="1020" w:type="dxa"/>
            <w:tcBorders>
              <w:top w:val="single" w:sz="12" w:space="0" w:color="auto"/>
              <w:left w:val="nil"/>
              <w:bottom w:val="nil"/>
              <w:right w:val="nil"/>
            </w:tcBorders>
            <w:vAlign w:val="center"/>
          </w:tcPr>
          <w:p w:rsidR="00694CD8" w:rsidRPr="00D07591" w:rsidRDefault="00694CD8" w:rsidP="002D52ED">
            <w:pPr>
              <w:spacing w:after="0" w:line="240" w:lineRule="auto"/>
              <w:jc w:val="center"/>
              <w:rPr>
                <w:color w:val="000000"/>
              </w:rPr>
            </w:pPr>
            <w:r w:rsidRPr="00D07591">
              <w:rPr>
                <w:color w:val="000000"/>
              </w:rPr>
              <w:t>současné pojistné</w:t>
            </w:r>
          </w:p>
        </w:tc>
        <w:tc>
          <w:tcPr>
            <w:tcW w:w="1092" w:type="dxa"/>
            <w:tcBorders>
              <w:top w:val="single" w:sz="12" w:space="0" w:color="auto"/>
              <w:left w:val="nil"/>
              <w:bottom w:val="nil"/>
              <w:right w:val="nil"/>
            </w:tcBorders>
            <w:vAlign w:val="center"/>
          </w:tcPr>
          <w:p w:rsidR="00694CD8" w:rsidRPr="00D07591" w:rsidRDefault="00694CD8" w:rsidP="002D52ED">
            <w:pPr>
              <w:spacing w:after="0" w:line="240" w:lineRule="auto"/>
              <w:jc w:val="center"/>
              <w:rPr>
                <w:b/>
                <w:color w:val="000000"/>
              </w:rPr>
            </w:pPr>
            <w:r w:rsidRPr="00D07591">
              <w:rPr>
                <w:b/>
                <w:color w:val="000000"/>
              </w:rPr>
              <w:t>změna pojistného</w:t>
            </w:r>
          </w:p>
        </w:tc>
        <w:tc>
          <w:tcPr>
            <w:tcW w:w="1120" w:type="dxa"/>
            <w:tcBorders>
              <w:top w:val="single" w:sz="12" w:space="0" w:color="auto"/>
              <w:left w:val="nil"/>
              <w:bottom w:val="nil"/>
              <w:right w:val="nil"/>
            </w:tcBorders>
            <w:vAlign w:val="center"/>
          </w:tcPr>
          <w:p w:rsidR="00694CD8" w:rsidRPr="00D07591" w:rsidRDefault="00694CD8" w:rsidP="002D52ED">
            <w:pPr>
              <w:spacing w:after="0" w:line="240" w:lineRule="auto"/>
              <w:jc w:val="center"/>
              <w:rPr>
                <w:color w:val="000000"/>
              </w:rPr>
            </w:pPr>
            <w:r w:rsidRPr="00D07591">
              <w:rPr>
                <w:color w:val="000000"/>
              </w:rPr>
              <w:t>budoucí pojistné</w:t>
            </w:r>
          </w:p>
        </w:tc>
      </w:tr>
      <w:tr w:rsidR="00694CD8" w:rsidRPr="00D9298C" w:rsidTr="0045175F">
        <w:trPr>
          <w:trHeight w:val="315"/>
        </w:trPr>
        <w:tc>
          <w:tcPr>
            <w:tcW w:w="1291" w:type="dxa"/>
            <w:vMerge w:val="restart"/>
            <w:tcBorders>
              <w:top w:val="single" w:sz="12" w:space="0" w:color="auto"/>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zdravotní p.</w:t>
            </w:r>
          </w:p>
        </w:tc>
        <w:tc>
          <w:tcPr>
            <w:tcW w:w="869" w:type="dxa"/>
            <w:tcBorders>
              <w:top w:val="single" w:sz="12" w:space="0" w:color="auto"/>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2</w:t>
            </w:r>
          </w:p>
        </w:tc>
        <w:tc>
          <w:tcPr>
            <w:tcW w:w="980" w:type="dxa"/>
            <w:tcBorders>
              <w:top w:val="single" w:sz="12" w:space="0" w:color="auto"/>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160 918</w:t>
            </w:r>
          </w:p>
        </w:tc>
        <w:tc>
          <w:tcPr>
            <w:tcW w:w="1020" w:type="dxa"/>
            <w:tcBorders>
              <w:top w:val="single" w:sz="12" w:space="0" w:color="auto"/>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126 691</w:t>
            </w:r>
          </w:p>
        </w:tc>
        <w:tc>
          <w:tcPr>
            <w:tcW w:w="1092" w:type="dxa"/>
            <w:tcBorders>
              <w:top w:val="single" w:sz="12" w:space="0" w:color="auto"/>
              <w:left w:val="nil"/>
              <w:bottom w:val="nil"/>
              <w:right w:val="nil"/>
            </w:tcBorders>
            <w:noWrap/>
            <w:vAlign w:val="center"/>
          </w:tcPr>
          <w:p w:rsidR="00694CD8" w:rsidRPr="00D07591" w:rsidRDefault="00694CD8" w:rsidP="002D52ED">
            <w:pPr>
              <w:spacing w:after="0" w:line="240" w:lineRule="auto"/>
              <w:jc w:val="center"/>
              <w:rPr>
                <w:b/>
                <w:color w:val="000000"/>
              </w:rPr>
            </w:pPr>
            <w:r w:rsidRPr="00D07591">
              <w:rPr>
                <w:b/>
                <w:color w:val="000000"/>
              </w:rPr>
              <w:t>3 453</w:t>
            </w:r>
          </w:p>
        </w:tc>
        <w:tc>
          <w:tcPr>
            <w:tcW w:w="1120" w:type="dxa"/>
            <w:tcBorders>
              <w:top w:val="single" w:sz="12" w:space="0" w:color="auto"/>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130 144</w:t>
            </w:r>
          </w:p>
        </w:tc>
      </w:tr>
      <w:tr w:rsidR="00694CD8" w:rsidRPr="00D9298C" w:rsidTr="0045175F">
        <w:trPr>
          <w:trHeight w:val="315"/>
        </w:trPr>
        <w:tc>
          <w:tcPr>
            <w:tcW w:w="1291" w:type="dxa"/>
            <w:vMerge/>
            <w:tcBorders>
              <w:top w:val="single" w:sz="12" w:space="0" w:color="auto"/>
              <w:left w:val="nil"/>
              <w:bottom w:val="nil"/>
              <w:right w:val="nil"/>
            </w:tcBorders>
            <w:vAlign w:val="center"/>
          </w:tcPr>
          <w:p w:rsidR="00694CD8" w:rsidRPr="00D07591" w:rsidRDefault="00694CD8" w:rsidP="002D52ED">
            <w:pPr>
              <w:spacing w:after="0" w:line="240" w:lineRule="auto"/>
              <w:rPr>
                <w:color w:val="000000"/>
              </w:rPr>
            </w:pPr>
          </w:p>
        </w:tc>
        <w:tc>
          <w:tcPr>
            <w:tcW w:w="869"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3</w:t>
            </w:r>
          </w:p>
        </w:tc>
        <w:tc>
          <w:tcPr>
            <w:tcW w:w="9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286 838</w:t>
            </w:r>
          </w:p>
        </w:tc>
        <w:tc>
          <w:tcPr>
            <w:tcW w:w="102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126 691</w:t>
            </w:r>
          </w:p>
        </w:tc>
        <w:tc>
          <w:tcPr>
            <w:tcW w:w="1092" w:type="dxa"/>
            <w:tcBorders>
              <w:top w:val="nil"/>
              <w:left w:val="nil"/>
              <w:bottom w:val="nil"/>
              <w:right w:val="nil"/>
            </w:tcBorders>
            <w:noWrap/>
            <w:vAlign w:val="center"/>
          </w:tcPr>
          <w:p w:rsidR="00694CD8" w:rsidRPr="00D07591" w:rsidRDefault="00694CD8" w:rsidP="002D52ED">
            <w:pPr>
              <w:spacing w:after="0" w:line="240" w:lineRule="auto"/>
              <w:jc w:val="center"/>
              <w:rPr>
                <w:b/>
                <w:color w:val="000000"/>
              </w:rPr>
            </w:pPr>
            <w:r w:rsidRPr="00D07591">
              <w:rPr>
                <w:b/>
                <w:color w:val="000000"/>
              </w:rPr>
              <w:t>86 483</w:t>
            </w:r>
          </w:p>
        </w:tc>
        <w:tc>
          <w:tcPr>
            <w:tcW w:w="112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213 174</w:t>
            </w:r>
          </w:p>
        </w:tc>
      </w:tr>
      <w:tr w:rsidR="00694CD8" w:rsidRPr="00D9298C" w:rsidTr="0045175F">
        <w:trPr>
          <w:trHeight w:val="330"/>
        </w:trPr>
        <w:tc>
          <w:tcPr>
            <w:tcW w:w="1291" w:type="dxa"/>
            <w:vMerge/>
            <w:tcBorders>
              <w:top w:val="single" w:sz="12" w:space="0" w:color="auto"/>
              <w:left w:val="nil"/>
              <w:bottom w:val="nil"/>
              <w:right w:val="nil"/>
            </w:tcBorders>
            <w:vAlign w:val="center"/>
          </w:tcPr>
          <w:p w:rsidR="00694CD8" w:rsidRPr="00D07591" w:rsidRDefault="00694CD8" w:rsidP="002D52ED">
            <w:pPr>
              <w:spacing w:after="0" w:line="240" w:lineRule="auto"/>
              <w:rPr>
                <w:color w:val="000000"/>
              </w:rPr>
            </w:pPr>
          </w:p>
        </w:tc>
        <w:tc>
          <w:tcPr>
            <w:tcW w:w="869"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Průměr</w:t>
            </w:r>
          </w:p>
        </w:tc>
        <w:tc>
          <w:tcPr>
            <w:tcW w:w="98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223 769</w:t>
            </w:r>
          </w:p>
        </w:tc>
        <w:tc>
          <w:tcPr>
            <w:tcW w:w="102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126 691</w:t>
            </w:r>
          </w:p>
        </w:tc>
        <w:tc>
          <w:tcPr>
            <w:tcW w:w="1092"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b/>
                <w:color w:val="000000"/>
              </w:rPr>
            </w:pPr>
            <w:r w:rsidRPr="00D07591">
              <w:rPr>
                <w:b/>
                <w:color w:val="000000"/>
              </w:rPr>
              <w:t>45 745</w:t>
            </w:r>
          </w:p>
        </w:tc>
        <w:tc>
          <w:tcPr>
            <w:tcW w:w="112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172 436</w:t>
            </w:r>
          </w:p>
        </w:tc>
      </w:tr>
      <w:tr w:rsidR="00694CD8" w:rsidRPr="00D9298C" w:rsidTr="0045175F">
        <w:trPr>
          <w:trHeight w:val="315"/>
        </w:trPr>
        <w:tc>
          <w:tcPr>
            <w:tcW w:w="1291" w:type="dxa"/>
            <w:vMerge w:val="restart"/>
            <w:tcBorders>
              <w:top w:val="single" w:sz="12" w:space="0" w:color="auto"/>
              <w:left w:val="nil"/>
              <w:bottom w:val="single" w:sz="12" w:space="0" w:color="000000"/>
              <w:right w:val="nil"/>
            </w:tcBorders>
            <w:noWrap/>
            <w:vAlign w:val="center"/>
          </w:tcPr>
          <w:p w:rsidR="00694CD8" w:rsidRPr="00D07591" w:rsidRDefault="00694CD8" w:rsidP="002D52ED">
            <w:pPr>
              <w:spacing w:after="0" w:line="240" w:lineRule="auto"/>
              <w:jc w:val="center"/>
              <w:rPr>
                <w:color w:val="000000"/>
              </w:rPr>
            </w:pPr>
            <w:r w:rsidRPr="00D07591">
              <w:rPr>
                <w:color w:val="000000"/>
              </w:rPr>
              <w:t>sociální p.</w:t>
            </w:r>
          </w:p>
        </w:tc>
        <w:tc>
          <w:tcPr>
            <w:tcW w:w="869" w:type="dxa"/>
            <w:tcBorders>
              <w:top w:val="single" w:sz="12" w:space="0" w:color="auto"/>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w:t>
            </w:r>
          </w:p>
        </w:tc>
        <w:tc>
          <w:tcPr>
            <w:tcW w:w="980" w:type="dxa"/>
            <w:tcBorders>
              <w:top w:val="single" w:sz="12" w:space="0" w:color="auto"/>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118 078</w:t>
            </w:r>
          </w:p>
        </w:tc>
        <w:tc>
          <w:tcPr>
            <w:tcW w:w="102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301 643</w:t>
            </w:r>
          </w:p>
        </w:tc>
        <w:tc>
          <w:tcPr>
            <w:tcW w:w="1092" w:type="dxa"/>
            <w:tcBorders>
              <w:top w:val="nil"/>
              <w:left w:val="nil"/>
              <w:bottom w:val="nil"/>
              <w:right w:val="nil"/>
            </w:tcBorders>
            <w:noWrap/>
            <w:vAlign w:val="center"/>
          </w:tcPr>
          <w:p w:rsidR="00694CD8" w:rsidRPr="00D07591" w:rsidRDefault="00694CD8" w:rsidP="002D52ED">
            <w:pPr>
              <w:spacing w:after="0" w:line="240" w:lineRule="auto"/>
              <w:jc w:val="center"/>
              <w:rPr>
                <w:b/>
                <w:color w:val="000000"/>
              </w:rPr>
            </w:pPr>
            <w:r w:rsidRPr="00D07591">
              <w:rPr>
                <w:b/>
                <w:color w:val="000000"/>
              </w:rPr>
              <w:t>63 522</w:t>
            </w:r>
          </w:p>
        </w:tc>
        <w:tc>
          <w:tcPr>
            <w:tcW w:w="112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365 165</w:t>
            </w:r>
          </w:p>
        </w:tc>
      </w:tr>
      <w:tr w:rsidR="00694CD8" w:rsidRPr="00D9298C" w:rsidTr="0045175F">
        <w:trPr>
          <w:trHeight w:val="300"/>
        </w:trPr>
        <w:tc>
          <w:tcPr>
            <w:tcW w:w="1291" w:type="dxa"/>
            <w:vMerge/>
            <w:tcBorders>
              <w:top w:val="single" w:sz="12" w:space="0" w:color="auto"/>
              <w:left w:val="nil"/>
              <w:bottom w:val="single" w:sz="12" w:space="0" w:color="000000"/>
              <w:right w:val="nil"/>
            </w:tcBorders>
            <w:vAlign w:val="center"/>
          </w:tcPr>
          <w:p w:rsidR="00694CD8" w:rsidRPr="00D07591" w:rsidRDefault="00694CD8" w:rsidP="002D52ED">
            <w:pPr>
              <w:spacing w:after="0" w:line="240" w:lineRule="auto"/>
              <w:rPr>
                <w:color w:val="000000"/>
              </w:rPr>
            </w:pPr>
          </w:p>
        </w:tc>
        <w:tc>
          <w:tcPr>
            <w:tcW w:w="869"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2</w:t>
            </w:r>
          </w:p>
        </w:tc>
        <w:tc>
          <w:tcPr>
            <w:tcW w:w="9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160 918</w:t>
            </w:r>
          </w:p>
        </w:tc>
        <w:tc>
          <w:tcPr>
            <w:tcW w:w="102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301 643</w:t>
            </w:r>
          </w:p>
        </w:tc>
        <w:tc>
          <w:tcPr>
            <w:tcW w:w="1092" w:type="dxa"/>
            <w:tcBorders>
              <w:top w:val="nil"/>
              <w:left w:val="nil"/>
              <w:bottom w:val="nil"/>
              <w:right w:val="nil"/>
            </w:tcBorders>
            <w:noWrap/>
            <w:vAlign w:val="center"/>
          </w:tcPr>
          <w:p w:rsidR="00694CD8" w:rsidRPr="00D07591" w:rsidRDefault="00694CD8" w:rsidP="002D52ED">
            <w:pPr>
              <w:spacing w:after="0" w:line="240" w:lineRule="auto"/>
              <w:jc w:val="center"/>
              <w:rPr>
                <w:b/>
                <w:color w:val="000000"/>
              </w:rPr>
            </w:pPr>
            <w:r w:rsidRPr="00D07591">
              <w:rPr>
                <w:b/>
                <w:color w:val="000000"/>
              </w:rPr>
              <w:t>163 155</w:t>
            </w:r>
          </w:p>
        </w:tc>
        <w:tc>
          <w:tcPr>
            <w:tcW w:w="112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464 798</w:t>
            </w:r>
          </w:p>
        </w:tc>
      </w:tr>
      <w:tr w:rsidR="00694CD8" w:rsidRPr="00D9298C" w:rsidTr="0045175F">
        <w:trPr>
          <w:trHeight w:val="315"/>
        </w:trPr>
        <w:tc>
          <w:tcPr>
            <w:tcW w:w="1291" w:type="dxa"/>
            <w:vMerge/>
            <w:tcBorders>
              <w:top w:val="single" w:sz="12" w:space="0" w:color="auto"/>
              <w:left w:val="nil"/>
              <w:bottom w:val="single" w:sz="12" w:space="0" w:color="000000"/>
              <w:right w:val="nil"/>
            </w:tcBorders>
            <w:vAlign w:val="center"/>
          </w:tcPr>
          <w:p w:rsidR="00694CD8" w:rsidRPr="00D07591" w:rsidRDefault="00694CD8" w:rsidP="002D52ED">
            <w:pPr>
              <w:spacing w:after="0" w:line="240" w:lineRule="auto"/>
              <w:rPr>
                <w:color w:val="000000"/>
              </w:rPr>
            </w:pPr>
          </w:p>
        </w:tc>
        <w:tc>
          <w:tcPr>
            <w:tcW w:w="869"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3</w:t>
            </w:r>
          </w:p>
        </w:tc>
        <w:tc>
          <w:tcPr>
            <w:tcW w:w="9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286 838</w:t>
            </w:r>
          </w:p>
        </w:tc>
        <w:tc>
          <w:tcPr>
            <w:tcW w:w="102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301 643</w:t>
            </w:r>
          </w:p>
        </w:tc>
        <w:tc>
          <w:tcPr>
            <w:tcW w:w="1092" w:type="dxa"/>
            <w:tcBorders>
              <w:top w:val="nil"/>
              <w:left w:val="nil"/>
              <w:bottom w:val="nil"/>
              <w:right w:val="nil"/>
            </w:tcBorders>
            <w:noWrap/>
            <w:vAlign w:val="center"/>
          </w:tcPr>
          <w:p w:rsidR="00694CD8" w:rsidRPr="00D07591" w:rsidRDefault="00694CD8" w:rsidP="002D52ED">
            <w:pPr>
              <w:spacing w:after="0" w:line="240" w:lineRule="auto"/>
              <w:jc w:val="center"/>
              <w:rPr>
                <w:b/>
                <w:color w:val="000000"/>
              </w:rPr>
            </w:pPr>
            <w:r w:rsidRPr="00D07591">
              <w:rPr>
                <w:b/>
                <w:color w:val="000000"/>
              </w:rPr>
              <w:t>459 693</w:t>
            </w:r>
          </w:p>
        </w:tc>
        <w:tc>
          <w:tcPr>
            <w:tcW w:w="112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761 335</w:t>
            </w:r>
          </w:p>
        </w:tc>
      </w:tr>
      <w:tr w:rsidR="00694CD8" w:rsidRPr="00D9298C" w:rsidTr="0045175F">
        <w:trPr>
          <w:trHeight w:val="330"/>
        </w:trPr>
        <w:tc>
          <w:tcPr>
            <w:tcW w:w="1291" w:type="dxa"/>
            <w:vMerge/>
            <w:tcBorders>
              <w:top w:val="single" w:sz="12" w:space="0" w:color="auto"/>
              <w:left w:val="nil"/>
              <w:bottom w:val="single" w:sz="12" w:space="0" w:color="000000"/>
              <w:right w:val="nil"/>
            </w:tcBorders>
            <w:vAlign w:val="center"/>
          </w:tcPr>
          <w:p w:rsidR="00694CD8" w:rsidRPr="00D07591" w:rsidRDefault="00694CD8" w:rsidP="002D52ED">
            <w:pPr>
              <w:spacing w:after="0" w:line="240" w:lineRule="auto"/>
              <w:rPr>
                <w:color w:val="000000"/>
              </w:rPr>
            </w:pPr>
          </w:p>
        </w:tc>
        <w:tc>
          <w:tcPr>
            <w:tcW w:w="869"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Průměr</w:t>
            </w:r>
          </w:p>
        </w:tc>
        <w:tc>
          <w:tcPr>
            <w:tcW w:w="98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165 758</w:t>
            </w:r>
          </w:p>
        </w:tc>
        <w:tc>
          <w:tcPr>
            <w:tcW w:w="102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301 643</w:t>
            </w:r>
          </w:p>
        </w:tc>
        <w:tc>
          <w:tcPr>
            <w:tcW w:w="1092"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b/>
                <w:color w:val="000000"/>
              </w:rPr>
            </w:pPr>
            <w:r w:rsidRPr="00D07591">
              <w:rPr>
                <w:b/>
                <w:color w:val="000000"/>
              </w:rPr>
              <w:t>162 973</w:t>
            </w:r>
          </w:p>
        </w:tc>
        <w:tc>
          <w:tcPr>
            <w:tcW w:w="112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464 616</w:t>
            </w:r>
          </w:p>
        </w:tc>
      </w:tr>
      <w:tr w:rsidR="00694CD8" w:rsidRPr="00D9298C" w:rsidTr="0045175F">
        <w:trPr>
          <w:trHeight w:val="315"/>
        </w:trPr>
        <w:tc>
          <w:tcPr>
            <w:tcW w:w="1291" w:type="dxa"/>
            <w:vMerge w:val="restart"/>
            <w:tcBorders>
              <w:top w:val="single" w:sz="12" w:space="0" w:color="auto"/>
              <w:left w:val="nil"/>
              <w:bottom w:val="single" w:sz="12" w:space="0" w:color="000000"/>
              <w:right w:val="nil"/>
            </w:tcBorders>
            <w:noWrap/>
            <w:vAlign w:val="center"/>
          </w:tcPr>
          <w:p w:rsidR="00694CD8" w:rsidRPr="00D07591" w:rsidRDefault="00694CD8" w:rsidP="002D52ED">
            <w:pPr>
              <w:spacing w:after="0" w:line="240" w:lineRule="auto"/>
              <w:jc w:val="center"/>
              <w:rPr>
                <w:color w:val="000000"/>
              </w:rPr>
            </w:pPr>
            <w:r w:rsidRPr="00D07591">
              <w:rPr>
                <w:color w:val="000000"/>
              </w:rPr>
              <w:t>celkové p.</w:t>
            </w:r>
          </w:p>
        </w:tc>
        <w:tc>
          <w:tcPr>
            <w:tcW w:w="869" w:type="dxa"/>
            <w:tcBorders>
              <w:top w:val="single" w:sz="12" w:space="0" w:color="auto"/>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w:t>
            </w:r>
          </w:p>
        </w:tc>
        <w:tc>
          <w:tcPr>
            <w:tcW w:w="980" w:type="dxa"/>
            <w:tcBorders>
              <w:top w:val="single" w:sz="12" w:space="0" w:color="auto"/>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118 078</w:t>
            </w:r>
          </w:p>
        </w:tc>
        <w:tc>
          <w:tcPr>
            <w:tcW w:w="102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404 924</w:t>
            </w:r>
          </w:p>
        </w:tc>
        <w:tc>
          <w:tcPr>
            <w:tcW w:w="1092" w:type="dxa"/>
            <w:tcBorders>
              <w:top w:val="nil"/>
              <w:left w:val="nil"/>
              <w:bottom w:val="nil"/>
              <w:right w:val="nil"/>
            </w:tcBorders>
            <w:noWrap/>
            <w:vAlign w:val="center"/>
          </w:tcPr>
          <w:p w:rsidR="00694CD8" w:rsidRPr="00D07591" w:rsidRDefault="00694CD8" w:rsidP="002D52ED">
            <w:pPr>
              <w:spacing w:after="0" w:line="240" w:lineRule="auto"/>
              <w:jc w:val="center"/>
              <w:rPr>
                <w:b/>
                <w:color w:val="000000"/>
              </w:rPr>
            </w:pPr>
            <w:r w:rsidRPr="00D07591">
              <w:rPr>
                <w:b/>
                <w:color w:val="000000"/>
              </w:rPr>
              <w:t>62 487</w:t>
            </w:r>
          </w:p>
        </w:tc>
        <w:tc>
          <w:tcPr>
            <w:tcW w:w="112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467 411</w:t>
            </w:r>
          </w:p>
        </w:tc>
      </w:tr>
      <w:tr w:rsidR="00694CD8" w:rsidRPr="00D9298C" w:rsidTr="0045175F">
        <w:trPr>
          <w:trHeight w:val="300"/>
        </w:trPr>
        <w:tc>
          <w:tcPr>
            <w:tcW w:w="1291" w:type="dxa"/>
            <w:vMerge/>
            <w:tcBorders>
              <w:top w:val="single" w:sz="12" w:space="0" w:color="auto"/>
              <w:left w:val="nil"/>
              <w:bottom w:val="single" w:sz="12" w:space="0" w:color="000000"/>
              <w:right w:val="nil"/>
            </w:tcBorders>
            <w:vAlign w:val="center"/>
          </w:tcPr>
          <w:p w:rsidR="00694CD8" w:rsidRPr="00D07591" w:rsidRDefault="00694CD8" w:rsidP="002D52ED">
            <w:pPr>
              <w:spacing w:after="0" w:line="240" w:lineRule="auto"/>
              <w:rPr>
                <w:color w:val="000000"/>
              </w:rPr>
            </w:pPr>
          </w:p>
        </w:tc>
        <w:tc>
          <w:tcPr>
            <w:tcW w:w="869"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2</w:t>
            </w:r>
          </w:p>
        </w:tc>
        <w:tc>
          <w:tcPr>
            <w:tcW w:w="9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160 918</w:t>
            </w:r>
          </w:p>
        </w:tc>
        <w:tc>
          <w:tcPr>
            <w:tcW w:w="102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428 333</w:t>
            </w:r>
          </w:p>
        </w:tc>
        <w:tc>
          <w:tcPr>
            <w:tcW w:w="1092" w:type="dxa"/>
            <w:tcBorders>
              <w:top w:val="nil"/>
              <w:left w:val="nil"/>
              <w:bottom w:val="nil"/>
              <w:right w:val="nil"/>
            </w:tcBorders>
            <w:noWrap/>
            <w:vAlign w:val="center"/>
          </w:tcPr>
          <w:p w:rsidR="00694CD8" w:rsidRPr="00D07591" w:rsidRDefault="00694CD8" w:rsidP="002D52ED">
            <w:pPr>
              <w:spacing w:after="0" w:line="240" w:lineRule="auto"/>
              <w:jc w:val="center"/>
              <w:rPr>
                <w:b/>
                <w:color w:val="000000"/>
              </w:rPr>
            </w:pPr>
            <w:r w:rsidRPr="00D07591">
              <w:rPr>
                <w:b/>
                <w:color w:val="000000"/>
              </w:rPr>
              <w:t>166 608</w:t>
            </w:r>
          </w:p>
        </w:tc>
        <w:tc>
          <w:tcPr>
            <w:tcW w:w="112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594 942</w:t>
            </w:r>
          </w:p>
        </w:tc>
      </w:tr>
      <w:tr w:rsidR="00694CD8" w:rsidRPr="00D9298C" w:rsidTr="0045175F">
        <w:trPr>
          <w:trHeight w:val="300"/>
        </w:trPr>
        <w:tc>
          <w:tcPr>
            <w:tcW w:w="1291" w:type="dxa"/>
            <w:vMerge/>
            <w:tcBorders>
              <w:top w:val="single" w:sz="12" w:space="0" w:color="auto"/>
              <w:left w:val="nil"/>
              <w:bottom w:val="single" w:sz="12" w:space="0" w:color="000000"/>
              <w:right w:val="nil"/>
            </w:tcBorders>
            <w:vAlign w:val="center"/>
          </w:tcPr>
          <w:p w:rsidR="00694CD8" w:rsidRPr="00D07591" w:rsidRDefault="00694CD8" w:rsidP="002D52ED">
            <w:pPr>
              <w:spacing w:after="0" w:line="240" w:lineRule="auto"/>
              <w:rPr>
                <w:color w:val="000000"/>
              </w:rPr>
            </w:pPr>
          </w:p>
        </w:tc>
        <w:tc>
          <w:tcPr>
            <w:tcW w:w="869"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3</w:t>
            </w:r>
          </w:p>
        </w:tc>
        <w:tc>
          <w:tcPr>
            <w:tcW w:w="98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286 838</w:t>
            </w:r>
          </w:p>
        </w:tc>
        <w:tc>
          <w:tcPr>
            <w:tcW w:w="102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428 333</w:t>
            </w:r>
          </w:p>
        </w:tc>
        <w:tc>
          <w:tcPr>
            <w:tcW w:w="1092" w:type="dxa"/>
            <w:tcBorders>
              <w:top w:val="nil"/>
              <w:left w:val="nil"/>
              <w:bottom w:val="nil"/>
              <w:right w:val="nil"/>
            </w:tcBorders>
            <w:noWrap/>
            <w:vAlign w:val="center"/>
          </w:tcPr>
          <w:p w:rsidR="00694CD8" w:rsidRPr="00D07591" w:rsidRDefault="00694CD8" w:rsidP="002D52ED">
            <w:pPr>
              <w:spacing w:after="0" w:line="240" w:lineRule="auto"/>
              <w:jc w:val="center"/>
              <w:rPr>
                <w:b/>
                <w:color w:val="000000"/>
              </w:rPr>
            </w:pPr>
            <w:r w:rsidRPr="00D07591">
              <w:rPr>
                <w:b/>
                <w:color w:val="000000"/>
              </w:rPr>
              <w:t>546 176</w:t>
            </w:r>
          </w:p>
        </w:tc>
        <w:tc>
          <w:tcPr>
            <w:tcW w:w="1120" w:type="dxa"/>
            <w:tcBorders>
              <w:top w:val="nil"/>
              <w:left w:val="nil"/>
              <w:bottom w:val="nil"/>
              <w:right w:val="nil"/>
            </w:tcBorders>
            <w:noWrap/>
            <w:vAlign w:val="center"/>
          </w:tcPr>
          <w:p w:rsidR="00694CD8" w:rsidRPr="00D07591" w:rsidRDefault="00694CD8" w:rsidP="002D52ED">
            <w:pPr>
              <w:spacing w:after="0" w:line="240" w:lineRule="auto"/>
              <w:jc w:val="center"/>
              <w:rPr>
                <w:color w:val="000000"/>
              </w:rPr>
            </w:pPr>
            <w:r w:rsidRPr="00D07591">
              <w:rPr>
                <w:color w:val="000000"/>
              </w:rPr>
              <w:t>974 509</w:t>
            </w:r>
          </w:p>
        </w:tc>
      </w:tr>
      <w:tr w:rsidR="00694CD8" w:rsidRPr="00D9298C" w:rsidTr="0045175F">
        <w:trPr>
          <w:trHeight w:val="315"/>
        </w:trPr>
        <w:tc>
          <w:tcPr>
            <w:tcW w:w="1291" w:type="dxa"/>
            <w:vMerge/>
            <w:tcBorders>
              <w:top w:val="single" w:sz="12" w:space="0" w:color="auto"/>
              <w:left w:val="nil"/>
              <w:bottom w:val="single" w:sz="12" w:space="0" w:color="000000"/>
              <w:right w:val="nil"/>
            </w:tcBorders>
            <w:vAlign w:val="center"/>
          </w:tcPr>
          <w:p w:rsidR="00694CD8" w:rsidRPr="00D07591" w:rsidRDefault="00694CD8" w:rsidP="002D52ED">
            <w:pPr>
              <w:spacing w:after="0" w:line="240" w:lineRule="auto"/>
              <w:rPr>
                <w:color w:val="000000"/>
              </w:rPr>
            </w:pPr>
          </w:p>
        </w:tc>
        <w:tc>
          <w:tcPr>
            <w:tcW w:w="869"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Průměr</w:t>
            </w:r>
          </w:p>
        </w:tc>
        <w:tc>
          <w:tcPr>
            <w:tcW w:w="98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165 758</w:t>
            </w:r>
          </w:p>
        </w:tc>
        <w:tc>
          <w:tcPr>
            <w:tcW w:w="102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413 313</w:t>
            </w:r>
          </w:p>
        </w:tc>
        <w:tc>
          <w:tcPr>
            <w:tcW w:w="1092"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b/>
                <w:color w:val="000000"/>
              </w:rPr>
            </w:pPr>
            <w:r w:rsidRPr="00D07591">
              <w:rPr>
                <w:b/>
                <w:color w:val="000000"/>
              </w:rPr>
              <w:t>181 899</w:t>
            </w:r>
          </w:p>
        </w:tc>
        <w:tc>
          <w:tcPr>
            <w:tcW w:w="1120" w:type="dxa"/>
            <w:tcBorders>
              <w:top w:val="nil"/>
              <w:left w:val="nil"/>
              <w:bottom w:val="single" w:sz="12" w:space="0" w:color="auto"/>
              <w:right w:val="nil"/>
            </w:tcBorders>
            <w:noWrap/>
            <w:vAlign w:val="center"/>
          </w:tcPr>
          <w:p w:rsidR="00694CD8" w:rsidRPr="00D07591" w:rsidRDefault="00694CD8" w:rsidP="002D52ED">
            <w:pPr>
              <w:spacing w:after="0" w:line="240" w:lineRule="auto"/>
              <w:jc w:val="center"/>
              <w:rPr>
                <w:color w:val="000000"/>
              </w:rPr>
            </w:pPr>
            <w:r w:rsidRPr="00D07591">
              <w:rPr>
                <w:color w:val="000000"/>
              </w:rPr>
              <w:t>594 697</w:t>
            </w:r>
          </w:p>
        </w:tc>
      </w:tr>
    </w:tbl>
    <w:p w:rsidR="00694CD8" w:rsidRPr="00D07591" w:rsidRDefault="00694CD8" w:rsidP="002D52ED">
      <w:pPr>
        <w:spacing w:line="240" w:lineRule="auto"/>
        <w:rPr>
          <w:lang w:eastAsia="en-US"/>
        </w:rPr>
      </w:pPr>
    </w:p>
    <w:p w:rsidR="00694CD8" w:rsidRPr="00D07591" w:rsidRDefault="00694CD8" w:rsidP="002D52ED">
      <w:pPr>
        <w:spacing w:after="120" w:line="240" w:lineRule="auto"/>
        <w:jc w:val="both"/>
      </w:pPr>
      <w:r w:rsidRPr="00D07591">
        <w:t xml:space="preserve">V neposlední řadě je nutné zdůraznit, že výše kvantifikovaný nárůst sociálního a zdravotního pojistného je způsoben „efektivním“ zrušením maximálních základů pro výpočet pojistného placeného zaměstnavatelem. Drtivá většina společností, jestliže nebudou mít prostor k daňové optimalizaci, nemůže dosáhnout na nově konstruovaný maximální základ. Zavedení pojistného z úhrnu mezd má za výše uvedeného předpokladu tedy srovnatelný efekt jako zrušení maximálního základu pro výpočet pojistného placeného zaměstnavatelem.  </w:t>
      </w:r>
    </w:p>
    <w:p w:rsidR="00694CD8" w:rsidRPr="00D07591" w:rsidRDefault="00694CD8" w:rsidP="002D52ED">
      <w:pPr>
        <w:spacing w:after="120" w:line="240" w:lineRule="auto"/>
        <w:jc w:val="both"/>
      </w:pPr>
      <w:r w:rsidRPr="00D07591">
        <w:t>Dále je nutné zmínit, že celková efektivní daňová sazba zaměstnance v důsledku zavedení Pojistného z úhrnu mezd nebude záviset pouze na jeho osobních charakteristikách, jako jsou výše mzdy (efektivní daňová sazba zdravotní i sociální pojištění), věk, pohlaví (sociální pojištění) a makroekonomických ukazatelů (sociální pojištění). Velikost celkové efektivní daňové sazby a tedy i rentabilita sociálního a zdravotního pojištění bude též záviset na mzdě spolupracovníků. Rentabilita například důchodového pojištění bude i výrazně odlišná pro dva zaměstnance, kteří jsou zcela stejní a pouze pracují v jiné společnosti.</w:t>
      </w:r>
    </w:p>
    <w:p w:rsidR="00694CD8" w:rsidRPr="00D07591" w:rsidRDefault="00694CD8" w:rsidP="002D52ED">
      <w:pPr>
        <w:spacing w:after="120" w:line="240" w:lineRule="auto"/>
        <w:jc w:val="both"/>
      </w:pPr>
      <w:r w:rsidRPr="00D07591">
        <w:t>Dále by s hlediska vnitřní konzistence zákona bylo vhodné, kdyby se maximální základ zdravotního pojištění placeného zaměstnavatelem a zaměstnancem odvíjel od stejného násobku průměrné mzdy. Neexistuje ekonomický důvod pro to, aby v případě zaměstnance byl strop stanoven na 72 násobku průměrné mzdy a v případě zaměstnavatele na 48 násobku průměrné mzdy.</w:t>
      </w:r>
    </w:p>
    <w:p w:rsidR="00694CD8" w:rsidRPr="00D07591" w:rsidRDefault="00694CD8" w:rsidP="002D52ED">
      <w:pPr>
        <w:spacing w:after="120" w:line="240" w:lineRule="auto"/>
        <w:jc w:val="both"/>
      </w:pPr>
    </w:p>
    <w:p w:rsidR="00694CD8" w:rsidRPr="00D07591" w:rsidRDefault="00694CD8" w:rsidP="002D52ED">
      <w:pPr>
        <w:spacing w:after="120" w:line="240" w:lineRule="auto"/>
        <w:jc w:val="both"/>
        <w:rPr>
          <w:b/>
          <w:sz w:val="24"/>
          <w:szCs w:val="24"/>
        </w:rPr>
      </w:pPr>
      <w:r w:rsidRPr="00D07591">
        <w:rPr>
          <w:b/>
          <w:sz w:val="24"/>
          <w:szCs w:val="24"/>
        </w:rPr>
        <w:t>6. Rozšíření okruhu plátců pojistného</w:t>
      </w:r>
    </w:p>
    <w:p w:rsidR="00694CD8" w:rsidRPr="00D07591" w:rsidRDefault="00694CD8" w:rsidP="002D52ED">
      <w:pPr>
        <w:spacing w:after="120" w:line="240" w:lineRule="auto"/>
        <w:jc w:val="both"/>
      </w:pPr>
      <w:r w:rsidRPr="00D07591">
        <w:t xml:space="preserve">Návrh zákona zpojistňuje příjmy související se zaměstnáním, které však byly vyplaceny osobou spojenou se zaměstnavatelem, nikoli však zaměstnavatelem samotným. Na rozdíl od současné podoby zákona tedy není podmínkou zpojistnění právní vztah. </w:t>
      </w:r>
    </w:p>
    <w:p w:rsidR="00694CD8" w:rsidRPr="00D07591" w:rsidRDefault="00694CD8" w:rsidP="002D52ED">
      <w:pPr>
        <w:spacing w:after="120" w:line="240" w:lineRule="auto"/>
        <w:jc w:val="both"/>
      </w:pPr>
      <w:r w:rsidRPr="00D07591">
        <w:t>Touto změnou se dostávají na roveň stejní zaměstnanci, kteří dostávají stejnou odměnu za práci a jediný rozdíl je v subjektu, který jim odměnu vyplácí. Z pohledu ekonomické teorie jde o pozitivní změnu zamezení rozdílné míry zdanění stejného předmětu daně. Z praktického pohledu je tento zdroj příjmů zaměstnanců ve velké části případů obtížně kontrolovatelný. Zaměstnanci, kteří po účinnosti tohoto návrhu zákona neodvedou pojistné ze zmíněných příjmů, však již budou porušovat zákon namísto současné situace, kdy jde pouze o daňovou optimalizaci. Lze tedy předpokládat, že nezanedbatelná část zaměstnanců s takovýmito příjmy pojistné odvede.</w:t>
      </w:r>
    </w:p>
    <w:p w:rsidR="00694CD8" w:rsidRPr="00D07591" w:rsidRDefault="00694CD8" w:rsidP="002D52ED">
      <w:pPr>
        <w:spacing w:after="120" w:line="240" w:lineRule="auto"/>
        <w:jc w:val="both"/>
      </w:pPr>
      <w:r w:rsidRPr="00D07591">
        <w:t xml:space="preserve">Odhad výše příjmů souvisejících se zaměstnáním vyplacených jinou osobou a následný odhad nárůstu pojistného v důsledku zpojistnění těchto příjmů je však nanejvýš problematický. Tyto příjmy nejsou samostatně vedeny v žádných databázích ani průzkumech. Databáze SILC reportuje „ostatní příjmy“, které zahrnují i např. stipendia studentů, výhry z loterií, a také příjmy související se zaměstnáním, které by zřejmě byly podle nové úpravy zpojistněny. Pokud vyloučíme studenty (u kterých ostatní příjmy představují zřejmě stipendia), důchodce a další nepracující (u kterých ostatní příjmy nesouvisí se zaměstnání), osoby s enormně nízkými ostatními příjmy (ostatní příjmy jsou pravděpodobně jednorázové příjmy nesouvisející se zaměstnáním) a enormně vysokými ostatními příjmy (pravděpodobně výhry v loterii), pak činí celková výše ostatních příjmů 2 898 milionů. Lze jen spekulovat, jaká část těchto ostatních příjmů jsou příjmy související se zaměstnáním a bude tedy dle návrhu zákona zdaněna. Tato velikost ostatních příjmů však tvoří horní hranici příjmů souvisejících se zaměstnáním. Této hranici by odpovídalo celkové pojistné ve výši 927 milionů korun. Tato hranice je však se vší pravděpodobností výrazně vyšší než skutečná hodnota. </w:t>
      </w:r>
    </w:p>
    <w:p w:rsidR="00694CD8" w:rsidRPr="00D07591" w:rsidRDefault="00694CD8" w:rsidP="002D52ED">
      <w:pPr>
        <w:spacing w:after="120" w:line="240" w:lineRule="auto"/>
        <w:jc w:val="both"/>
      </w:pPr>
    </w:p>
    <w:p w:rsidR="00694CD8" w:rsidRPr="00D07591" w:rsidRDefault="00694CD8" w:rsidP="002D52ED">
      <w:pPr>
        <w:spacing w:after="120" w:line="240" w:lineRule="auto"/>
        <w:jc w:val="both"/>
      </w:pPr>
    </w:p>
    <w:p w:rsidR="00694CD8" w:rsidRPr="00D07591" w:rsidRDefault="00694CD8" w:rsidP="002D52ED">
      <w:pPr>
        <w:spacing w:after="120" w:line="240" w:lineRule="auto"/>
        <w:jc w:val="both"/>
      </w:pPr>
    </w:p>
    <w:p w:rsidR="00694CD8" w:rsidRPr="00D07591" w:rsidRDefault="00694CD8" w:rsidP="002D52ED">
      <w:pPr>
        <w:spacing w:after="120" w:line="240" w:lineRule="auto"/>
        <w:jc w:val="both"/>
      </w:pPr>
    </w:p>
    <w:p w:rsidR="00694CD8" w:rsidRPr="00D07591" w:rsidRDefault="00694CD8" w:rsidP="002D52ED">
      <w:pPr>
        <w:spacing w:after="120" w:line="240" w:lineRule="auto"/>
        <w:jc w:val="both"/>
      </w:pPr>
    </w:p>
    <w:p w:rsidR="00694CD8" w:rsidRDefault="00694CD8" w:rsidP="002D52ED">
      <w:pPr>
        <w:spacing w:after="120" w:line="240" w:lineRule="auto"/>
        <w:jc w:val="both"/>
      </w:pPr>
    </w:p>
    <w:p w:rsidR="00694CD8" w:rsidRDefault="00694CD8" w:rsidP="002D52ED">
      <w:pPr>
        <w:spacing w:after="120" w:line="240" w:lineRule="auto"/>
        <w:jc w:val="both"/>
      </w:pPr>
    </w:p>
    <w:p w:rsidR="00694CD8" w:rsidRDefault="00694CD8" w:rsidP="002D52ED">
      <w:pPr>
        <w:spacing w:after="120" w:line="240" w:lineRule="auto"/>
        <w:jc w:val="both"/>
      </w:pPr>
    </w:p>
    <w:p w:rsidR="00694CD8" w:rsidRDefault="00694CD8" w:rsidP="002D52ED">
      <w:pPr>
        <w:spacing w:after="120" w:line="240" w:lineRule="auto"/>
        <w:jc w:val="both"/>
      </w:pPr>
    </w:p>
    <w:p w:rsidR="00694CD8" w:rsidRDefault="00694CD8" w:rsidP="002D52ED">
      <w:pPr>
        <w:spacing w:after="120" w:line="240" w:lineRule="auto"/>
        <w:jc w:val="both"/>
      </w:pPr>
    </w:p>
    <w:p w:rsidR="00694CD8" w:rsidRDefault="00694CD8" w:rsidP="002D52ED">
      <w:pPr>
        <w:spacing w:after="120" w:line="240" w:lineRule="auto"/>
        <w:jc w:val="both"/>
      </w:pPr>
    </w:p>
    <w:p w:rsidR="00694CD8" w:rsidRDefault="00694CD8" w:rsidP="002D52ED">
      <w:pPr>
        <w:spacing w:after="120" w:line="240" w:lineRule="auto"/>
        <w:jc w:val="both"/>
      </w:pPr>
    </w:p>
    <w:p w:rsidR="00694CD8" w:rsidRDefault="00694CD8" w:rsidP="002D52ED">
      <w:pPr>
        <w:spacing w:after="120" w:line="240" w:lineRule="auto"/>
        <w:jc w:val="both"/>
      </w:pPr>
    </w:p>
    <w:p w:rsidR="00694CD8" w:rsidRDefault="00694CD8" w:rsidP="002D52ED">
      <w:pPr>
        <w:spacing w:after="120" w:line="240" w:lineRule="auto"/>
        <w:jc w:val="both"/>
      </w:pPr>
    </w:p>
    <w:p w:rsidR="00694CD8" w:rsidRDefault="00694CD8" w:rsidP="002D52ED">
      <w:pPr>
        <w:spacing w:after="120" w:line="240" w:lineRule="auto"/>
        <w:jc w:val="both"/>
      </w:pPr>
    </w:p>
    <w:p w:rsidR="00694CD8" w:rsidRDefault="00694CD8" w:rsidP="002D52ED">
      <w:pPr>
        <w:spacing w:after="120" w:line="240" w:lineRule="auto"/>
        <w:jc w:val="both"/>
      </w:pPr>
    </w:p>
    <w:p w:rsidR="00694CD8" w:rsidRDefault="00694CD8" w:rsidP="002D52ED">
      <w:pPr>
        <w:spacing w:after="120" w:line="240" w:lineRule="auto"/>
        <w:jc w:val="both"/>
      </w:pPr>
    </w:p>
    <w:p w:rsidR="00694CD8" w:rsidRDefault="00694CD8" w:rsidP="002D52ED">
      <w:pPr>
        <w:spacing w:after="120" w:line="240" w:lineRule="auto"/>
        <w:jc w:val="both"/>
      </w:pPr>
    </w:p>
    <w:p w:rsidR="00694CD8" w:rsidRDefault="00694CD8" w:rsidP="002D52ED">
      <w:pPr>
        <w:spacing w:after="120" w:line="240" w:lineRule="auto"/>
        <w:jc w:val="both"/>
      </w:pPr>
    </w:p>
    <w:p w:rsidR="00694CD8" w:rsidRPr="00D07591" w:rsidRDefault="00694CD8" w:rsidP="002D52ED">
      <w:pPr>
        <w:spacing w:after="120" w:line="240" w:lineRule="auto"/>
        <w:jc w:val="both"/>
      </w:pPr>
    </w:p>
    <w:p w:rsidR="00694CD8" w:rsidRPr="00D07591" w:rsidRDefault="00694CD8" w:rsidP="002D52ED">
      <w:pPr>
        <w:spacing w:after="120" w:line="240" w:lineRule="auto"/>
        <w:jc w:val="both"/>
      </w:pPr>
      <w:r w:rsidRPr="00D07591">
        <w:t>________________________________________________________________________________________</w:t>
      </w:r>
    </w:p>
    <w:p w:rsidR="00694CD8" w:rsidRPr="00D07591" w:rsidRDefault="00694CD8" w:rsidP="002D52ED">
      <w:pPr>
        <w:spacing w:after="120" w:line="240" w:lineRule="auto"/>
        <w:rPr>
          <w:rFonts w:ascii="Georgia" w:hAnsi="Georgia"/>
          <w:sz w:val="20"/>
          <w:szCs w:val="20"/>
        </w:rPr>
      </w:pPr>
      <w:r w:rsidRPr="00D07591">
        <w:rPr>
          <w:rFonts w:ascii="Georgia" w:hAnsi="Georgia"/>
          <w:sz w:val="20"/>
          <w:szCs w:val="20"/>
        </w:rPr>
        <w:t>© Jiří Šatava, Libor Dušek</w:t>
      </w:r>
    </w:p>
    <w:p w:rsidR="00694CD8" w:rsidRDefault="00694CD8" w:rsidP="002D52ED">
      <w:pPr>
        <w:spacing w:after="120" w:line="240" w:lineRule="auto"/>
      </w:pPr>
      <w:r w:rsidRPr="00D07591">
        <w:rPr>
          <w:rFonts w:ascii="Georgia" w:hAnsi="Georgia"/>
          <w:sz w:val="20"/>
          <w:szCs w:val="20"/>
        </w:rPr>
        <w:t>Upozornění: Tato studie reprezentuje pouze názory autorů a nikoli oficiální stanoviska Národohospodářského ústavu AVČR, v.v.i., Centra pro ekonomický výzkum a doktorské studium UK v Praze (CERGE), nebo Ministerstva financí ČR.</w:t>
      </w:r>
    </w:p>
    <w:sectPr w:rsidR="00694CD8" w:rsidSect="008C0206">
      <w:headerReference w:type="default" r:id="rId14"/>
      <w:pgSz w:w="11907" w:h="16839" w:code="9"/>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CD8" w:rsidRDefault="00694CD8" w:rsidP="00FE0C02">
      <w:pPr>
        <w:spacing w:after="0" w:line="240" w:lineRule="auto"/>
      </w:pPr>
      <w:r>
        <w:separator/>
      </w:r>
    </w:p>
  </w:endnote>
  <w:endnote w:type="continuationSeparator" w:id="0">
    <w:p w:rsidR="00694CD8" w:rsidRDefault="00694CD8" w:rsidP="00FE0C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CD8" w:rsidRDefault="00694CD8">
    <w:pPr>
      <w:pStyle w:val="Footer"/>
      <w:jc w:val="right"/>
    </w:pPr>
    <w:fldSimple w:instr=" PAGE   \* MERGEFORMAT ">
      <w:r>
        <w:rPr>
          <w:noProof/>
        </w:rPr>
        <w:t>1</w:t>
      </w:r>
    </w:fldSimple>
  </w:p>
  <w:p w:rsidR="00694CD8" w:rsidRDefault="00694C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CD8" w:rsidRDefault="00694CD8" w:rsidP="00FE0C02">
      <w:pPr>
        <w:spacing w:after="0" w:line="240" w:lineRule="auto"/>
      </w:pPr>
      <w:r>
        <w:separator/>
      </w:r>
    </w:p>
  </w:footnote>
  <w:footnote w:type="continuationSeparator" w:id="0">
    <w:p w:rsidR="00694CD8" w:rsidRDefault="00694CD8" w:rsidP="00FE0C02">
      <w:pPr>
        <w:spacing w:after="0" w:line="240" w:lineRule="auto"/>
      </w:pPr>
      <w:r>
        <w:continuationSeparator/>
      </w:r>
    </w:p>
  </w:footnote>
  <w:footnote w:id="1">
    <w:p w:rsidR="00694CD8" w:rsidRDefault="00694CD8" w:rsidP="00AB3561">
      <w:pPr>
        <w:pStyle w:val="FootnoteText"/>
      </w:pPr>
      <w:r w:rsidRPr="007906C3">
        <w:rPr>
          <w:rStyle w:val="FootnoteReference"/>
          <w:rFonts w:cs="Calibri"/>
        </w:rPr>
        <w:footnoteRef/>
      </w:r>
      <w:r w:rsidRPr="007906C3">
        <w:rPr>
          <w:rFonts w:cs="Calibri"/>
        </w:rPr>
        <w:t xml:space="preserve">CERGE-EI, společné pracoviště Národohospodářského ústavu AVČR, v.v.i., a CERGE Univerzity Karlovy. </w:t>
      </w:r>
      <w:r>
        <w:rPr>
          <w:rFonts w:cs="Calibri"/>
        </w:rPr>
        <w:t xml:space="preserve">Názory zde prezentované jsou </w:t>
      </w:r>
      <w:r w:rsidRPr="00EB329E">
        <w:rPr>
          <w:rFonts w:cs="Calibri"/>
        </w:rPr>
        <w:t xml:space="preserve">pouze názory autorů a nikoli oficiální stanoviska Národohospodářského ústavu AVČR, v.v.i., Centra pro ekonomický výzkum a doktorské studium UK v Praze (CERGE), nebo </w:t>
      </w:r>
      <w:r>
        <w:rPr>
          <w:rFonts w:cs="Calibri"/>
        </w:rPr>
        <w:t>Ministerstva financí ČR.</w:t>
      </w:r>
    </w:p>
  </w:footnote>
  <w:footnote w:id="2">
    <w:p w:rsidR="00694CD8" w:rsidRDefault="00694CD8" w:rsidP="00563361">
      <w:pPr>
        <w:pStyle w:val="FootnoteText"/>
      </w:pPr>
      <w:r>
        <w:rPr>
          <w:rStyle w:val="FootnoteReference"/>
        </w:rPr>
        <w:footnoteRef/>
      </w:r>
      <w:r>
        <w:t>Tato reprezentativní databáze je používána v celé studii pro všechny souhrnné statistiky a výpočty.</w:t>
      </w:r>
    </w:p>
    <w:p w:rsidR="00694CD8" w:rsidRDefault="00694CD8" w:rsidP="00563361">
      <w:pPr>
        <w:pStyle w:val="FootnoteText"/>
      </w:pPr>
    </w:p>
  </w:footnote>
  <w:footnote w:id="3">
    <w:p w:rsidR="00694CD8" w:rsidRDefault="00694CD8" w:rsidP="00831EE4">
      <w:pPr>
        <w:pStyle w:val="FootnoteText"/>
        <w:jc w:val="both"/>
      </w:pPr>
      <w:r>
        <w:rPr>
          <w:rStyle w:val="FootnoteReference"/>
        </w:rPr>
        <w:footnoteRef/>
      </w:r>
      <w:r>
        <w:t xml:space="preserve">Skutečné hodnoty současného pojistného na zdravotní pojištění tedy neodpovídají vypočteným hodnotám, jelikož současná sazba zdravotního pojištění placeného zaměstnanci je 4,5 %. Výpočty jsou prováděny s budoucí sazbou 6.5 %, abychom odfiltrovali vliv změny sazby pojistného (ze 4,5 % na 6.5 %) na prezentované výsledky. </w:t>
      </w:r>
    </w:p>
  </w:footnote>
  <w:footnote w:id="4">
    <w:p w:rsidR="00694CD8" w:rsidRDefault="00694CD8">
      <w:pPr>
        <w:pStyle w:val="FootnoteText"/>
      </w:pPr>
      <w:r>
        <w:rPr>
          <w:rStyle w:val="FootnoteReference"/>
        </w:rPr>
        <w:footnoteRef/>
      </w:r>
      <w:r>
        <w:t xml:space="preserve"> Pod pojmem příjmy rozumíme ekvivalent zisku.</w:t>
      </w:r>
    </w:p>
  </w:footnote>
  <w:footnote w:id="5">
    <w:p w:rsidR="00694CD8" w:rsidRDefault="00694CD8">
      <w:pPr>
        <w:pStyle w:val="FootnoteText"/>
      </w:pPr>
      <w:r w:rsidRPr="00D07591">
        <w:rPr>
          <w:rStyle w:val="FootnoteReference"/>
        </w:rPr>
        <w:footnoteRef/>
      </w:r>
      <w:r w:rsidRPr="00D07591">
        <w:t xml:space="preserve"> Samostatně výdělečně činné osoby, u kterých by dle návrhu vypočtená záloha klesla pod minimální zálohu, budou platit zálohu minimální. Pokles záloh u těchto osob bude tedy nižší, v krajním případě bude nulový.</w:t>
      </w:r>
    </w:p>
  </w:footnote>
  <w:footnote w:id="6">
    <w:p w:rsidR="00694CD8" w:rsidRDefault="00694CD8" w:rsidP="00866D30">
      <w:pPr>
        <w:pStyle w:val="FootnoteText"/>
        <w:jc w:val="both"/>
      </w:pPr>
      <w:r>
        <w:rPr>
          <w:rStyle w:val="FootnoteReference"/>
        </w:rPr>
        <w:footnoteRef/>
      </w:r>
      <w:r>
        <w:t>Celkový počet zaměstnanců nad stropy sociálního a zdravotního pojištění (13 resp. 6 tisíc) je v databázi reprezentován několika desítkami zaměstnanců. I když tito „reprezentanti“ co nejlépe odrážejí vlastnosti svých „reálných“ protějšků, počet reprezentantů v řádu desítek zavdává příčinu k vyšší odchylce výsledků. Přesnější výpočty s menší odchylkou by bylo možné získat pouze z nedostupných databází České správy sociálního pojištění, případně podobných nedostupných databází obsahujících všechny zaměstnance v ČR.</w:t>
      </w:r>
    </w:p>
  </w:footnote>
  <w:footnote w:id="7">
    <w:p w:rsidR="00694CD8" w:rsidRDefault="00694CD8" w:rsidP="00866D30">
      <w:pPr>
        <w:pStyle w:val="FootnoteText"/>
        <w:jc w:val="both"/>
      </w:pPr>
      <w:r>
        <w:rPr>
          <w:rStyle w:val="FootnoteReference"/>
        </w:rPr>
        <w:footnoteRef/>
      </w:r>
      <w:r>
        <w:t>Pravděpodobně jsou zde podhodnoceny počty cizinců se mzdou alespoň nad stropem sociálního pojištění a počty zaměstnanců s velmi vysokou mzdou (manažeři velkých firem s velmi vysokou mzdou).</w:t>
      </w:r>
    </w:p>
  </w:footnote>
  <w:footnote w:id="8">
    <w:p w:rsidR="00694CD8" w:rsidRDefault="00694CD8" w:rsidP="009B1466">
      <w:pPr>
        <w:pStyle w:val="FootnoteText"/>
        <w:jc w:val="both"/>
      </w:pPr>
      <w:r>
        <w:rPr>
          <w:rStyle w:val="FootnoteReference"/>
        </w:rPr>
        <w:footnoteRef/>
      </w:r>
      <w:r>
        <w:t xml:space="preserve">Výpočty nárůstu sociálního a zdravotního pojištění placeného zaměstnavatelem za vysoko příjmové zaměstnance i jejich současné a budoucí hodnoty jsou přepočítány pro budoucí sazbu pojistného na zdravotní pojištění 7 % namísto současných 9%. Pro účely zhodnocení vlivu zavedení pojistného z úhrnu mezd předpokládáme, že změna rozdělení sazby zdravotního pojištění mezi zaměstnance a zaměstnavatele nebude mít vliv na hrubou mzdu. </w:t>
      </w:r>
    </w:p>
  </w:footnote>
  <w:footnote w:id="9">
    <w:p w:rsidR="00694CD8" w:rsidRDefault="00694CD8">
      <w:pPr>
        <w:pStyle w:val="FootnoteText"/>
      </w:pPr>
      <w:r>
        <w:rPr>
          <w:rStyle w:val="FootnoteReference"/>
        </w:rPr>
        <w:footnoteRef/>
      </w:r>
      <w:r>
        <w:t xml:space="preserve">Přepočtené pro novou sazbu 7 %. Tím vidíme izolovaný efekt zavedení pojistného z úhrnu mezd. </w:t>
      </w:r>
    </w:p>
  </w:footnote>
  <w:footnote w:id="10">
    <w:p w:rsidR="00694CD8" w:rsidRDefault="00694CD8">
      <w:pPr>
        <w:pStyle w:val="FootnoteText"/>
      </w:pPr>
      <w:r>
        <w:rPr>
          <w:rStyle w:val="FootnoteReference"/>
        </w:rPr>
        <w:footnoteRef/>
      </w:r>
      <w:r>
        <w:t>Elasticity of taxable income with respect to the net-of-tax-share.</w:t>
      </w:r>
    </w:p>
  </w:footnote>
  <w:footnote w:id="11">
    <w:p w:rsidR="00694CD8" w:rsidRDefault="00694CD8" w:rsidP="004D7E43">
      <w:pPr>
        <w:pStyle w:val="FootnoteText"/>
        <w:jc w:val="both"/>
      </w:pPr>
      <w:r>
        <w:rPr>
          <w:rStyle w:val="FootnoteReference"/>
        </w:rPr>
        <w:footnoteRef/>
      </w:r>
      <w:r>
        <w:t>Výpočty nárůstu sociálního a zdravotního pojištění placeného zaměstnavatelem za vysoko příjmové zaměstnance i jejich současné a budoucí hodnoty jsou opět přepočítány pro budoucí sazbu zdravotního pojištění 7 % namísto současných 9 %. Pro účely zhodnocení vlivu zavedení pojistného z úhrnu mezd předpokládáme, že změna rozdělení sazby zdravotního pojištění mezi zaměstnance a zaměstnavatele nebude mít vliv na hrubou mzdu. Ve výpočtech zároveň pracujeme s hodnotou sazby daně z příjmů 19 %. Současná sazba je sice 15 %, ale již schválená legislativa ji mění od roku 2015 na 19 %. Tímto předpokladem vyhodnocujeme důsledky způsobené pouze přijetím zákona o veřejných pojistných.</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CD8" w:rsidRPr="005D42BB" w:rsidRDefault="00694CD8" w:rsidP="008C0206">
    <w:pPr>
      <w:pStyle w:val="Header"/>
      <w:tabs>
        <w:tab w:val="left" w:pos="8265"/>
        <w:tab w:val="right" w:pos="9747"/>
      </w:tabs>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IV.</w:t>
    </w:r>
    <w:r w:rsidRPr="005D42BB">
      <w:rPr>
        <w:rFonts w:ascii="Times New Roman" w:hAnsi="Times New Roman"/>
        <w:b/>
        <w:sz w:val="24"/>
        <w:szCs w:val="24"/>
      </w:rPr>
      <w:t>a</w:t>
    </w:r>
    <w:r>
      <w:rPr>
        <w:rFonts w:ascii="Times New Roman" w:hAnsi="Times New Roman"/>
        <w:b/>
        <w:sz w:val="24"/>
        <w:szCs w:val="24"/>
      </w:rPr>
      <w:t xml:space="preserve"> </w:t>
    </w:r>
    <w:r w:rsidRPr="005D42BB">
      <w:rPr>
        <w:rFonts w:ascii="Times New Roman" w:hAnsi="Times New Roman"/>
        <w:b/>
        <w:sz w:val="24"/>
        <w:szCs w:val="24"/>
      </w:rPr>
      <w:t>-</w:t>
    </w:r>
    <w:r>
      <w:rPr>
        <w:rFonts w:ascii="Times New Roman" w:hAnsi="Times New Roman"/>
        <w:b/>
        <w:sz w:val="24"/>
        <w:szCs w:val="24"/>
      </w:rPr>
      <w:t xml:space="preserve"> </w:t>
    </w:r>
    <w:r w:rsidRPr="005D42BB">
      <w:rPr>
        <w:rFonts w:ascii="Times New Roman" w:hAnsi="Times New Roman"/>
        <w:b/>
        <w:sz w:val="24"/>
        <w:szCs w:val="24"/>
      </w:rPr>
      <w:t>příloha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CD8" w:rsidRPr="005D42BB" w:rsidRDefault="00694CD8" w:rsidP="008C0206">
    <w:pPr>
      <w:pStyle w:val="Header"/>
      <w:tabs>
        <w:tab w:val="left" w:pos="8265"/>
        <w:tab w:val="right" w:pos="9747"/>
      </w:tabs>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E20A6"/>
    <w:multiLevelType w:val="hybridMultilevel"/>
    <w:tmpl w:val="5FCA3E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80C4672"/>
    <w:multiLevelType w:val="hybridMultilevel"/>
    <w:tmpl w:val="04B84026"/>
    <w:lvl w:ilvl="0" w:tplc="0B7A91A6">
      <w:start w:val="4"/>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0AD352E"/>
    <w:multiLevelType w:val="hybridMultilevel"/>
    <w:tmpl w:val="DAFEDF40"/>
    <w:lvl w:ilvl="0" w:tplc="0B7A91A6">
      <w:start w:val="4"/>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2AA609A"/>
    <w:multiLevelType w:val="hybridMultilevel"/>
    <w:tmpl w:val="AB02FF94"/>
    <w:lvl w:ilvl="0" w:tplc="0B7A91A6">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40B3B90"/>
    <w:multiLevelType w:val="hybridMultilevel"/>
    <w:tmpl w:val="5094B61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3AF62436"/>
    <w:multiLevelType w:val="hybridMultilevel"/>
    <w:tmpl w:val="BDEA482C"/>
    <w:lvl w:ilvl="0" w:tplc="0B7A91A6">
      <w:start w:val="4"/>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66BF04B1"/>
    <w:multiLevelType w:val="hybridMultilevel"/>
    <w:tmpl w:val="85523466"/>
    <w:lvl w:ilvl="0" w:tplc="F8821F14">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73B42237"/>
    <w:multiLevelType w:val="hybridMultilevel"/>
    <w:tmpl w:val="953A5C1E"/>
    <w:lvl w:ilvl="0" w:tplc="0B7A91A6">
      <w:start w:val="4"/>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66B3654"/>
    <w:multiLevelType w:val="hybridMultilevel"/>
    <w:tmpl w:val="C6564D8A"/>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79A03C46"/>
    <w:multiLevelType w:val="hybridMultilevel"/>
    <w:tmpl w:val="9862662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5"/>
  </w:num>
  <w:num w:numId="4">
    <w:abstractNumId w:val="7"/>
  </w:num>
  <w:num w:numId="5">
    <w:abstractNumId w:val="3"/>
  </w:num>
  <w:num w:numId="6">
    <w:abstractNumId w:val="9"/>
  </w:num>
  <w:num w:numId="7">
    <w:abstractNumId w:val="4"/>
  </w:num>
  <w:num w:numId="8">
    <w:abstractNumId w:val="0"/>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765C"/>
    <w:rsid w:val="00004534"/>
    <w:rsid w:val="000060E5"/>
    <w:rsid w:val="00023AF1"/>
    <w:rsid w:val="00023F8A"/>
    <w:rsid w:val="00025429"/>
    <w:rsid w:val="000356CB"/>
    <w:rsid w:val="000474A1"/>
    <w:rsid w:val="00050CA1"/>
    <w:rsid w:val="00054BF0"/>
    <w:rsid w:val="00066CD9"/>
    <w:rsid w:val="000719C4"/>
    <w:rsid w:val="000726B3"/>
    <w:rsid w:val="000740FC"/>
    <w:rsid w:val="00075890"/>
    <w:rsid w:val="00080E1A"/>
    <w:rsid w:val="00080F3A"/>
    <w:rsid w:val="00083D73"/>
    <w:rsid w:val="0008510B"/>
    <w:rsid w:val="00091BCA"/>
    <w:rsid w:val="00093F45"/>
    <w:rsid w:val="00097F84"/>
    <w:rsid w:val="000A54BF"/>
    <w:rsid w:val="000A5ACB"/>
    <w:rsid w:val="000A5E52"/>
    <w:rsid w:val="000A62D4"/>
    <w:rsid w:val="000C0457"/>
    <w:rsid w:val="000C23DD"/>
    <w:rsid w:val="000C3CBB"/>
    <w:rsid w:val="000C4C79"/>
    <w:rsid w:val="000C5E6A"/>
    <w:rsid w:val="000C6315"/>
    <w:rsid w:val="000D31C7"/>
    <w:rsid w:val="000E3C4F"/>
    <w:rsid w:val="000F01AA"/>
    <w:rsid w:val="000F3EC6"/>
    <w:rsid w:val="00103B0E"/>
    <w:rsid w:val="00105832"/>
    <w:rsid w:val="00117452"/>
    <w:rsid w:val="00120CCA"/>
    <w:rsid w:val="00122854"/>
    <w:rsid w:val="001265E1"/>
    <w:rsid w:val="00131946"/>
    <w:rsid w:val="00133FA8"/>
    <w:rsid w:val="00140B06"/>
    <w:rsid w:val="00141234"/>
    <w:rsid w:val="00142081"/>
    <w:rsid w:val="00142DB9"/>
    <w:rsid w:val="00144314"/>
    <w:rsid w:val="00150F72"/>
    <w:rsid w:val="001517BE"/>
    <w:rsid w:val="001532A6"/>
    <w:rsid w:val="0015390C"/>
    <w:rsid w:val="001563B6"/>
    <w:rsid w:val="00156B08"/>
    <w:rsid w:val="00156D67"/>
    <w:rsid w:val="00162C4F"/>
    <w:rsid w:val="00163AC6"/>
    <w:rsid w:val="0016765C"/>
    <w:rsid w:val="00172F48"/>
    <w:rsid w:val="00173F9F"/>
    <w:rsid w:val="001835DC"/>
    <w:rsid w:val="00186E51"/>
    <w:rsid w:val="001905AB"/>
    <w:rsid w:val="00190F87"/>
    <w:rsid w:val="0019204E"/>
    <w:rsid w:val="0019366C"/>
    <w:rsid w:val="001A0F13"/>
    <w:rsid w:val="001A11C3"/>
    <w:rsid w:val="001B07DA"/>
    <w:rsid w:val="001B6882"/>
    <w:rsid w:val="001C021C"/>
    <w:rsid w:val="001C7AE7"/>
    <w:rsid w:val="001D64C9"/>
    <w:rsid w:val="001E35AB"/>
    <w:rsid w:val="00202673"/>
    <w:rsid w:val="002035C3"/>
    <w:rsid w:val="00210A3F"/>
    <w:rsid w:val="00210F9E"/>
    <w:rsid w:val="0021220B"/>
    <w:rsid w:val="0021508A"/>
    <w:rsid w:val="002158C2"/>
    <w:rsid w:val="0023071F"/>
    <w:rsid w:val="00231402"/>
    <w:rsid w:val="002314FE"/>
    <w:rsid w:val="0023171B"/>
    <w:rsid w:val="00232145"/>
    <w:rsid w:val="002353BC"/>
    <w:rsid w:val="00240506"/>
    <w:rsid w:val="002426AF"/>
    <w:rsid w:val="00253057"/>
    <w:rsid w:val="00256EC7"/>
    <w:rsid w:val="002603BA"/>
    <w:rsid w:val="00267762"/>
    <w:rsid w:val="002678E0"/>
    <w:rsid w:val="00275CC0"/>
    <w:rsid w:val="0028547A"/>
    <w:rsid w:val="0028701D"/>
    <w:rsid w:val="00292A75"/>
    <w:rsid w:val="002A5063"/>
    <w:rsid w:val="002A5BB1"/>
    <w:rsid w:val="002A65EA"/>
    <w:rsid w:val="002B4135"/>
    <w:rsid w:val="002C34D4"/>
    <w:rsid w:val="002C3919"/>
    <w:rsid w:val="002C4768"/>
    <w:rsid w:val="002C48EE"/>
    <w:rsid w:val="002C4ED4"/>
    <w:rsid w:val="002D0EF7"/>
    <w:rsid w:val="002D4A30"/>
    <w:rsid w:val="002D52ED"/>
    <w:rsid w:val="002E1A37"/>
    <w:rsid w:val="002F17E5"/>
    <w:rsid w:val="002F27C7"/>
    <w:rsid w:val="002F56FB"/>
    <w:rsid w:val="002F688C"/>
    <w:rsid w:val="00302837"/>
    <w:rsid w:val="0030510E"/>
    <w:rsid w:val="003129BA"/>
    <w:rsid w:val="003136C8"/>
    <w:rsid w:val="0032738E"/>
    <w:rsid w:val="003275F7"/>
    <w:rsid w:val="00332371"/>
    <w:rsid w:val="003324F4"/>
    <w:rsid w:val="003342C1"/>
    <w:rsid w:val="00334C63"/>
    <w:rsid w:val="00344993"/>
    <w:rsid w:val="00345A78"/>
    <w:rsid w:val="00347D98"/>
    <w:rsid w:val="00361270"/>
    <w:rsid w:val="00366BD5"/>
    <w:rsid w:val="00376D4E"/>
    <w:rsid w:val="00380304"/>
    <w:rsid w:val="003840F0"/>
    <w:rsid w:val="00386A64"/>
    <w:rsid w:val="0038700F"/>
    <w:rsid w:val="003873B1"/>
    <w:rsid w:val="003950F4"/>
    <w:rsid w:val="0039612A"/>
    <w:rsid w:val="00397341"/>
    <w:rsid w:val="003A2340"/>
    <w:rsid w:val="003A39FB"/>
    <w:rsid w:val="003A7C2A"/>
    <w:rsid w:val="003B0463"/>
    <w:rsid w:val="003B21DE"/>
    <w:rsid w:val="003B6CD0"/>
    <w:rsid w:val="003C0950"/>
    <w:rsid w:val="003C113F"/>
    <w:rsid w:val="003C3170"/>
    <w:rsid w:val="003C47A9"/>
    <w:rsid w:val="003C5AAD"/>
    <w:rsid w:val="003D7CC1"/>
    <w:rsid w:val="003E1934"/>
    <w:rsid w:val="003E1A7A"/>
    <w:rsid w:val="003E2A91"/>
    <w:rsid w:val="003E334B"/>
    <w:rsid w:val="003F11C6"/>
    <w:rsid w:val="003F1C83"/>
    <w:rsid w:val="003F7EC4"/>
    <w:rsid w:val="00400410"/>
    <w:rsid w:val="00403280"/>
    <w:rsid w:val="004059AB"/>
    <w:rsid w:val="00407BC2"/>
    <w:rsid w:val="004171CE"/>
    <w:rsid w:val="004177A3"/>
    <w:rsid w:val="0044343B"/>
    <w:rsid w:val="00447A97"/>
    <w:rsid w:val="0045175F"/>
    <w:rsid w:val="004558D3"/>
    <w:rsid w:val="00456475"/>
    <w:rsid w:val="004564B2"/>
    <w:rsid w:val="00464570"/>
    <w:rsid w:val="00466E83"/>
    <w:rsid w:val="0047507D"/>
    <w:rsid w:val="0047586C"/>
    <w:rsid w:val="00481E98"/>
    <w:rsid w:val="00481EF3"/>
    <w:rsid w:val="00482143"/>
    <w:rsid w:val="00487B75"/>
    <w:rsid w:val="0049081E"/>
    <w:rsid w:val="0049157E"/>
    <w:rsid w:val="004A590B"/>
    <w:rsid w:val="004B6CBE"/>
    <w:rsid w:val="004C1B2D"/>
    <w:rsid w:val="004C447D"/>
    <w:rsid w:val="004C5B88"/>
    <w:rsid w:val="004D51C2"/>
    <w:rsid w:val="004D6212"/>
    <w:rsid w:val="004D7E43"/>
    <w:rsid w:val="004E152C"/>
    <w:rsid w:val="004E70D6"/>
    <w:rsid w:val="004E77F8"/>
    <w:rsid w:val="004F2A81"/>
    <w:rsid w:val="004F5F2A"/>
    <w:rsid w:val="004F6DAC"/>
    <w:rsid w:val="00505C76"/>
    <w:rsid w:val="0050637F"/>
    <w:rsid w:val="005140B2"/>
    <w:rsid w:val="00514C65"/>
    <w:rsid w:val="00516B61"/>
    <w:rsid w:val="005222E4"/>
    <w:rsid w:val="00523270"/>
    <w:rsid w:val="00527374"/>
    <w:rsid w:val="00530AB9"/>
    <w:rsid w:val="00536F71"/>
    <w:rsid w:val="005439C9"/>
    <w:rsid w:val="00543E9B"/>
    <w:rsid w:val="0055190D"/>
    <w:rsid w:val="00551FCD"/>
    <w:rsid w:val="00555C42"/>
    <w:rsid w:val="00555FE1"/>
    <w:rsid w:val="00557648"/>
    <w:rsid w:val="00561381"/>
    <w:rsid w:val="00563361"/>
    <w:rsid w:val="00564A02"/>
    <w:rsid w:val="005733DA"/>
    <w:rsid w:val="00593630"/>
    <w:rsid w:val="00594108"/>
    <w:rsid w:val="00594378"/>
    <w:rsid w:val="005B0070"/>
    <w:rsid w:val="005B6550"/>
    <w:rsid w:val="005C2239"/>
    <w:rsid w:val="005C287F"/>
    <w:rsid w:val="005D3C05"/>
    <w:rsid w:val="005D3E79"/>
    <w:rsid w:val="005D42BB"/>
    <w:rsid w:val="005E0CF3"/>
    <w:rsid w:val="005E332C"/>
    <w:rsid w:val="005F0E8E"/>
    <w:rsid w:val="005F2A5D"/>
    <w:rsid w:val="00604ACD"/>
    <w:rsid w:val="006062C8"/>
    <w:rsid w:val="006145DB"/>
    <w:rsid w:val="00617842"/>
    <w:rsid w:val="0062697E"/>
    <w:rsid w:val="00627B93"/>
    <w:rsid w:val="0063289A"/>
    <w:rsid w:val="0063513F"/>
    <w:rsid w:val="006360E7"/>
    <w:rsid w:val="00642333"/>
    <w:rsid w:val="0065096F"/>
    <w:rsid w:val="006555F2"/>
    <w:rsid w:val="00657521"/>
    <w:rsid w:val="00657B36"/>
    <w:rsid w:val="00660F67"/>
    <w:rsid w:val="00663396"/>
    <w:rsid w:val="00663F57"/>
    <w:rsid w:val="006776A1"/>
    <w:rsid w:val="00684F04"/>
    <w:rsid w:val="00694CD8"/>
    <w:rsid w:val="00695CE1"/>
    <w:rsid w:val="00697DA9"/>
    <w:rsid w:val="006B0659"/>
    <w:rsid w:val="006B296C"/>
    <w:rsid w:val="006B422F"/>
    <w:rsid w:val="006B4D09"/>
    <w:rsid w:val="006B7319"/>
    <w:rsid w:val="006B7E7F"/>
    <w:rsid w:val="006C08C7"/>
    <w:rsid w:val="006C2359"/>
    <w:rsid w:val="006D11BC"/>
    <w:rsid w:val="006D2668"/>
    <w:rsid w:val="006E48A9"/>
    <w:rsid w:val="006F2A15"/>
    <w:rsid w:val="006F3A12"/>
    <w:rsid w:val="006F4656"/>
    <w:rsid w:val="00701460"/>
    <w:rsid w:val="00705AF9"/>
    <w:rsid w:val="00711AFD"/>
    <w:rsid w:val="007168C6"/>
    <w:rsid w:val="00724029"/>
    <w:rsid w:val="0072496B"/>
    <w:rsid w:val="007263D3"/>
    <w:rsid w:val="00727880"/>
    <w:rsid w:val="00741719"/>
    <w:rsid w:val="0076129B"/>
    <w:rsid w:val="007633C7"/>
    <w:rsid w:val="0076369E"/>
    <w:rsid w:val="007639CC"/>
    <w:rsid w:val="00764C79"/>
    <w:rsid w:val="00766BF7"/>
    <w:rsid w:val="0076711A"/>
    <w:rsid w:val="00773078"/>
    <w:rsid w:val="00773737"/>
    <w:rsid w:val="007834FA"/>
    <w:rsid w:val="00786570"/>
    <w:rsid w:val="007869F9"/>
    <w:rsid w:val="007906C3"/>
    <w:rsid w:val="007913A4"/>
    <w:rsid w:val="00792D6E"/>
    <w:rsid w:val="00793A59"/>
    <w:rsid w:val="00794190"/>
    <w:rsid w:val="007950B2"/>
    <w:rsid w:val="007968F6"/>
    <w:rsid w:val="007A0ED7"/>
    <w:rsid w:val="007A48E1"/>
    <w:rsid w:val="007B1BE2"/>
    <w:rsid w:val="007B4F78"/>
    <w:rsid w:val="007B56F3"/>
    <w:rsid w:val="007B7A95"/>
    <w:rsid w:val="007C1D3A"/>
    <w:rsid w:val="007D39F4"/>
    <w:rsid w:val="007D49C1"/>
    <w:rsid w:val="007D5329"/>
    <w:rsid w:val="007D607A"/>
    <w:rsid w:val="007D7BD8"/>
    <w:rsid w:val="007E2D7D"/>
    <w:rsid w:val="007F0A85"/>
    <w:rsid w:val="007F39B4"/>
    <w:rsid w:val="007F3A02"/>
    <w:rsid w:val="007F41FE"/>
    <w:rsid w:val="007F4E32"/>
    <w:rsid w:val="00804447"/>
    <w:rsid w:val="00804C45"/>
    <w:rsid w:val="008227A2"/>
    <w:rsid w:val="00823F42"/>
    <w:rsid w:val="00823FD6"/>
    <w:rsid w:val="008265B6"/>
    <w:rsid w:val="00831EE4"/>
    <w:rsid w:val="008459B7"/>
    <w:rsid w:val="008526C7"/>
    <w:rsid w:val="008578BF"/>
    <w:rsid w:val="008605CC"/>
    <w:rsid w:val="00862E4D"/>
    <w:rsid w:val="00866D30"/>
    <w:rsid w:val="00870A8E"/>
    <w:rsid w:val="0087719F"/>
    <w:rsid w:val="00884A11"/>
    <w:rsid w:val="00885936"/>
    <w:rsid w:val="00887CFA"/>
    <w:rsid w:val="0089348D"/>
    <w:rsid w:val="0089538A"/>
    <w:rsid w:val="00895A85"/>
    <w:rsid w:val="0089784F"/>
    <w:rsid w:val="008A161A"/>
    <w:rsid w:val="008C0206"/>
    <w:rsid w:val="008C0DA8"/>
    <w:rsid w:val="008C1206"/>
    <w:rsid w:val="008C15E4"/>
    <w:rsid w:val="008C701C"/>
    <w:rsid w:val="008D12A9"/>
    <w:rsid w:val="008D314C"/>
    <w:rsid w:val="008E363B"/>
    <w:rsid w:val="008E6937"/>
    <w:rsid w:val="00900483"/>
    <w:rsid w:val="009142FC"/>
    <w:rsid w:val="00915A36"/>
    <w:rsid w:val="0091637E"/>
    <w:rsid w:val="00916E94"/>
    <w:rsid w:val="009210BC"/>
    <w:rsid w:val="00921137"/>
    <w:rsid w:val="009236C9"/>
    <w:rsid w:val="00931C9C"/>
    <w:rsid w:val="00931EC9"/>
    <w:rsid w:val="009421C5"/>
    <w:rsid w:val="0094245D"/>
    <w:rsid w:val="009428AB"/>
    <w:rsid w:val="00953CD2"/>
    <w:rsid w:val="00954B3E"/>
    <w:rsid w:val="00955308"/>
    <w:rsid w:val="00955B84"/>
    <w:rsid w:val="00966522"/>
    <w:rsid w:val="00975D69"/>
    <w:rsid w:val="0098082D"/>
    <w:rsid w:val="00982870"/>
    <w:rsid w:val="00985234"/>
    <w:rsid w:val="00986B71"/>
    <w:rsid w:val="00997D80"/>
    <w:rsid w:val="009A065D"/>
    <w:rsid w:val="009A7DA0"/>
    <w:rsid w:val="009B1466"/>
    <w:rsid w:val="009B31CA"/>
    <w:rsid w:val="009C4F26"/>
    <w:rsid w:val="009C5EB6"/>
    <w:rsid w:val="009C6B9B"/>
    <w:rsid w:val="009D026C"/>
    <w:rsid w:val="009D077F"/>
    <w:rsid w:val="009D0C62"/>
    <w:rsid w:val="009D69FC"/>
    <w:rsid w:val="009E2BE4"/>
    <w:rsid w:val="009F0170"/>
    <w:rsid w:val="00A0391B"/>
    <w:rsid w:val="00A13D94"/>
    <w:rsid w:val="00A1598C"/>
    <w:rsid w:val="00A203B7"/>
    <w:rsid w:val="00A2453A"/>
    <w:rsid w:val="00A308B2"/>
    <w:rsid w:val="00A30ED1"/>
    <w:rsid w:val="00A4168C"/>
    <w:rsid w:val="00A43196"/>
    <w:rsid w:val="00A4614A"/>
    <w:rsid w:val="00A462D8"/>
    <w:rsid w:val="00A52CDE"/>
    <w:rsid w:val="00A5570B"/>
    <w:rsid w:val="00A759EF"/>
    <w:rsid w:val="00A8164A"/>
    <w:rsid w:val="00A83999"/>
    <w:rsid w:val="00A86186"/>
    <w:rsid w:val="00A866BE"/>
    <w:rsid w:val="00A90ABB"/>
    <w:rsid w:val="00A91291"/>
    <w:rsid w:val="00A92739"/>
    <w:rsid w:val="00A9493E"/>
    <w:rsid w:val="00A96664"/>
    <w:rsid w:val="00A96C08"/>
    <w:rsid w:val="00A9720B"/>
    <w:rsid w:val="00AA0F78"/>
    <w:rsid w:val="00AA187D"/>
    <w:rsid w:val="00AA205C"/>
    <w:rsid w:val="00AA2CED"/>
    <w:rsid w:val="00AA3250"/>
    <w:rsid w:val="00AA3792"/>
    <w:rsid w:val="00AA48C4"/>
    <w:rsid w:val="00AA4E1E"/>
    <w:rsid w:val="00AA7716"/>
    <w:rsid w:val="00AB3561"/>
    <w:rsid w:val="00AB386D"/>
    <w:rsid w:val="00AB4DEE"/>
    <w:rsid w:val="00AC0FC7"/>
    <w:rsid w:val="00AC1FFC"/>
    <w:rsid w:val="00AC20B4"/>
    <w:rsid w:val="00AC4D51"/>
    <w:rsid w:val="00AC70B7"/>
    <w:rsid w:val="00AD6431"/>
    <w:rsid w:val="00AF09AD"/>
    <w:rsid w:val="00AF2354"/>
    <w:rsid w:val="00AF5486"/>
    <w:rsid w:val="00AF7A0D"/>
    <w:rsid w:val="00B001FD"/>
    <w:rsid w:val="00B16409"/>
    <w:rsid w:val="00B23322"/>
    <w:rsid w:val="00B300E9"/>
    <w:rsid w:val="00B3178C"/>
    <w:rsid w:val="00B428F9"/>
    <w:rsid w:val="00B50AFF"/>
    <w:rsid w:val="00B52924"/>
    <w:rsid w:val="00B55215"/>
    <w:rsid w:val="00B602FB"/>
    <w:rsid w:val="00B62BFD"/>
    <w:rsid w:val="00B66AF1"/>
    <w:rsid w:val="00B759B6"/>
    <w:rsid w:val="00B763FD"/>
    <w:rsid w:val="00B76BB3"/>
    <w:rsid w:val="00B840F6"/>
    <w:rsid w:val="00B9574F"/>
    <w:rsid w:val="00BA07AE"/>
    <w:rsid w:val="00BA2501"/>
    <w:rsid w:val="00BA6303"/>
    <w:rsid w:val="00BB46E9"/>
    <w:rsid w:val="00BC3B20"/>
    <w:rsid w:val="00BC53E9"/>
    <w:rsid w:val="00BC5E18"/>
    <w:rsid w:val="00BD59CC"/>
    <w:rsid w:val="00BD612E"/>
    <w:rsid w:val="00BD7BC1"/>
    <w:rsid w:val="00BE36EE"/>
    <w:rsid w:val="00BF401D"/>
    <w:rsid w:val="00BF49DD"/>
    <w:rsid w:val="00BF5F0B"/>
    <w:rsid w:val="00BF7235"/>
    <w:rsid w:val="00C02380"/>
    <w:rsid w:val="00C023F9"/>
    <w:rsid w:val="00C0437F"/>
    <w:rsid w:val="00C06170"/>
    <w:rsid w:val="00C1053D"/>
    <w:rsid w:val="00C12E08"/>
    <w:rsid w:val="00C14A73"/>
    <w:rsid w:val="00C20A6F"/>
    <w:rsid w:val="00C240E7"/>
    <w:rsid w:val="00C2784F"/>
    <w:rsid w:val="00C3061F"/>
    <w:rsid w:val="00C30AAE"/>
    <w:rsid w:val="00C35B21"/>
    <w:rsid w:val="00C36063"/>
    <w:rsid w:val="00C37CD1"/>
    <w:rsid w:val="00C5260E"/>
    <w:rsid w:val="00C542C7"/>
    <w:rsid w:val="00C54841"/>
    <w:rsid w:val="00C61149"/>
    <w:rsid w:val="00C614FD"/>
    <w:rsid w:val="00C623F7"/>
    <w:rsid w:val="00C67DCD"/>
    <w:rsid w:val="00C70352"/>
    <w:rsid w:val="00C73F1F"/>
    <w:rsid w:val="00C75340"/>
    <w:rsid w:val="00C80E86"/>
    <w:rsid w:val="00C86EEA"/>
    <w:rsid w:val="00C90160"/>
    <w:rsid w:val="00C94223"/>
    <w:rsid w:val="00C94308"/>
    <w:rsid w:val="00C96928"/>
    <w:rsid w:val="00CA33F8"/>
    <w:rsid w:val="00CA4ED3"/>
    <w:rsid w:val="00CB2EF9"/>
    <w:rsid w:val="00CB338A"/>
    <w:rsid w:val="00CB73F0"/>
    <w:rsid w:val="00CD0B99"/>
    <w:rsid w:val="00CE052A"/>
    <w:rsid w:val="00CE3C62"/>
    <w:rsid w:val="00CE48ED"/>
    <w:rsid w:val="00CE5BCC"/>
    <w:rsid w:val="00CE6067"/>
    <w:rsid w:val="00CF0758"/>
    <w:rsid w:val="00CF2216"/>
    <w:rsid w:val="00CF296D"/>
    <w:rsid w:val="00CF6D78"/>
    <w:rsid w:val="00D04E39"/>
    <w:rsid w:val="00D051BD"/>
    <w:rsid w:val="00D07447"/>
    <w:rsid w:val="00D07591"/>
    <w:rsid w:val="00D10DBE"/>
    <w:rsid w:val="00D1188D"/>
    <w:rsid w:val="00D1462E"/>
    <w:rsid w:val="00D14A57"/>
    <w:rsid w:val="00D20EFA"/>
    <w:rsid w:val="00D2271F"/>
    <w:rsid w:val="00D24AA3"/>
    <w:rsid w:val="00D43DEB"/>
    <w:rsid w:val="00D46816"/>
    <w:rsid w:val="00D47BCF"/>
    <w:rsid w:val="00D503C8"/>
    <w:rsid w:val="00D51B50"/>
    <w:rsid w:val="00D55BA6"/>
    <w:rsid w:val="00D60FF8"/>
    <w:rsid w:val="00D7156F"/>
    <w:rsid w:val="00D71B86"/>
    <w:rsid w:val="00D730D5"/>
    <w:rsid w:val="00D746FB"/>
    <w:rsid w:val="00D7646D"/>
    <w:rsid w:val="00D83E1B"/>
    <w:rsid w:val="00D86123"/>
    <w:rsid w:val="00D9298C"/>
    <w:rsid w:val="00D934B8"/>
    <w:rsid w:val="00D93950"/>
    <w:rsid w:val="00D96937"/>
    <w:rsid w:val="00D96DD9"/>
    <w:rsid w:val="00DA2CCD"/>
    <w:rsid w:val="00DA2F36"/>
    <w:rsid w:val="00DA5EFB"/>
    <w:rsid w:val="00DB1CE9"/>
    <w:rsid w:val="00DB3E9C"/>
    <w:rsid w:val="00DB4199"/>
    <w:rsid w:val="00DB6C55"/>
    <w:rsid w:val="00DC02A2"/>
    <w:rsid w:val="00DD3F40"/>
    <w:rsid w:val="00DD75F9"/>
    <w:rsid w:val="00DE7358"/>
    <w:rsid w:val="00DF03E4"/>
    <w:rsid w:val="00DF1A38"/>
    <w:rsid w:val="00DF6540"/>
    <w:rsid w:val="00DF72FA"/>
    <w:rsid w:val="00E10FA5"/>
    <w:rsid w:val="00E11318"/>
    <w:rsid w:val="00E118E9"/>
    <w:rsid w:val="00E134CA"/>
    <w:rsid w:val="00E1611D"/>
    <w:rsid w:val="00E216A5"/>
    <w:rsid w:val="00E23D21"/>
    <w:rsid w:val="00E25BEE"/>
    <w:rsid w:val="00E2646A"/>
    <w:rsid w:val="00E30074"/>
    <w:rsid w:val="00E30F22"/>
    <w:rsid w:val="00E36638"/>
    <w:rsid w:val="00E366BF"/>
    <w:rsid w:val="00E42497"/>
    <w:rsid w:val="00E42ED9"/>
    <w:rsid w:val="00E54748"/>
    <w:rsid w:val="00E61D7C"/>
    <w:rsid w:val="00E625D7"/>
    <w:rsid w:val="00E65241"/>
    <w:rsid w:val="00E66435"/>
    <w:rsid w:val="00E66A5E"/>
    <w:rsid w:val="00E76ED5"/>
    <w:rsid w:val="00E853D1"/>
    <w:rsid w:val="00E8675D"/>
    <w:rsid w:val="00E9255A"/>
    <w:rsid w:val="00E92F21"/>
    <w:rsid w:val="00E961A2"/>
    <w:rsid w:val="00E96F29"/>
    <w:rsid w:val="00EA1EE3"/>
    <w:rsid w:val="00EA3519"/>
    <w:rsid w:val="00EA7F60"/>
    <w:rsid w:val="00EB289A"/>
    <w:rsid w:val="00EB329E"/>
    <w:rsid w:val="00EB5224"/>
    <w:rsid w:val="00EB7AD0"/>
    <w:rsid w:val="00EC1F18"/>
    <w:rsid w:val="00EC31E5"/>
    <w:rsid w:val="00EC3CD2"/>
    <w:rsid w:val="00EC5F6F"/>
    <w:rsid w:val="00ED2AC1"/>
    <w:rsid w:val="00ED510F"/>
    <w:rsid w:val="00ED59F6"/>
    <w:rsid w:val="00ED7477"/>
    <w:rsid w:val="00EE1299"/>
    <w:rsid w:val="00EE3A5A"/>
    <w:rsid w:val="00EF5DBC"/>
    <w:rsid w:val="00EF6138"/>
    <w:rsid w:val="00F0274C"/>
    <w:rsid w:val="00F03CC9"/>
    <w:rsid w:val="00F03EDA"/>
    <w:rsid w:val="00F04EFE"/>
    <w:rsid w:val="00F10B5D"/>
    <w:rsid w:val="00F17814"/>
    <w:rsid w:val="00F20620"/>
    <w:rsid w:val="00F33D09"/>
    <w:rsid w:val="00F36956"/>
    <w:rsid w:val="00F372C0"/>
    <w:rsid w:val="00F40A01"/>
    <w:rsid w:val="00F420DB"/>
    <w:rsid w:val="00F50102"/>
    <w:rsid w:val="00F52240"/>
    <w:rsid w:val="00F53823"/>
    <w:rsid w:val="00F53A2D"/>
    <w:rsid w:val="00F61567"/>
    <w:rsid w:val="00F64765"/>
    <w:rsid w:val="00F65C60"/>
    <w:rsid w:val="00F6766F"/>
    <w:rsid w:val="00F67D1B"/>
    <w:rsid w:val="00F76091"/>
    <w:rsid w:val="00F77912"/>
    <w:rsid w:val="00F77982"/>
    <w:rsid w:val="00F85CF0"/>
    <w:rsid w:val="00F9031A"/>
    <w:rsid w:val="00F904E4"/>
    <w:rsid w:val="00F91A46"/>
    <w:rsid w:val="00F91C46"/>
    <w:rsid w:val="00F93BE7"/>
    <w:rsid w:val="00F96232"/>
    <w:rsid w:val="00F9732F"/>
    <w:rsid w:val="00FA0D62"/>
    <w:rsid w:val="00FA49B0"/>
    <w:rsid w:val="00FA6294"/>
    <w:rsid w:val="00FA6726"/>
    <w:rsid w:val="00FB16E6"/>
    <w:rsid w:val="00FB2A74"/>
    <w:rsid w:val="00FB47C0"/>
    <w:rsid w:val="00FB6ED0"/>
    <w:rsid w:val="00FC0468"/>
    <w:rsid w:val="00FC163D"/>
    <w:rsid w:val="00FC1CD5"/>
    <w:rsid w:val="00FC23BD"/>
    <w:rsid w:val="00FD0D43"/>
    <w:rsid w:val="00FD2AF5"/>
    <w:rsid w:val="00FD57BB"/>
    <w:rsid w:val="00FE0C02"/>
    <w:rsid w:val="00FE1DD8"/>
    <w:rsid w:val="00FE3EEA"/>
    <w:rsid w:val="00FE4340"/>
    <w:rsid w:val="00FE59DD"/>
    <w:rsid w:val="00FE6EE2"/>
    <w:rsid w:val="00FF08F4"/>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96D"/>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4171CE"/>
    <w:rPr>
      <w:rFonts w:cs="Times New Roman"/>
      <w:color w:val="0000FF"/>
      <w:u w:val="single"/>
    </w:rPr>
  </w:style>
  <w:style w:type="paragraph" w:styleId="FootnoteText">
    <w:name w:val="footnote text"/>
    <w:basedOn w:val="Normal"/>
    <w:link w:val="FootnoteTextChar"/>
    <w:uiPriority w:val="99"/>
    <w:rsid w:val="00FE0C02"/>
    <w:pPr>
      <w:spacing w:after="0" w:line="240" w:lineRule="auto"/>
    </w:pPr>
    <w:rPr>
      <w:sz w:val="20"/>
      <w:szCs w:val="20"/>
    </w:rPr>
  </w:style>
  <w:style w:type="character" w:customStyle="1" w:styleId="FootnoteTextChar">
    <w:name w:val="Footnote Text Char"/>
    <w:basedOn w:val="DefaultParagraphFont"/>
    <w:link w:val="FootnoteText"/>
    <w:uiPriority w:val="99"/>
    <w:locked/>
    <w:rsid w:val="00FE0C02"/>
    <w:rPr>
      <w:rFonts w:cs="Times New Roman"/>
      <w:sz w:val="20"/>
      <w:szCs w:val="20"/>
    </w:rPr>
  </w:style>
  <w:style w:type="character" w:styleId="FootnoteReference">
    <w:name w:val="footnote reference"/>
    <w:basedOn w:val="DefaultParagraphFont"/>
    <w:uiPriority w:val="99"/>
    <w:rsid w:val="00FE0C02"/>
    <w:rPr>
      <w:rFonts w:cs="Times New Roman"/>
      <w:vertAlign w:val="superscript"/>
    </w:rPr>
  </w:style>
  <w:style w:type="paragraph" w:styleId="ListParagraph">
    <w:name w:val="List Paragraph"/>
    <w:basedOn w:val="Normal"/>
    <w:uiPriority w:val="99"/>
    <w:qFormat/>
    <w:rsid w:val="00986B71"/>
    <w:pPr>
      <w:ind w:left="720"/>
      <w:contextualSpacing/>
    </w:pPr>
  </w:style>
  <w:style w:type="paragraph" w:styleId="Header">
    <w:name w:val="header"/>
    <w:basedOn w:val="Normal"/>
    <w:link w:val="HeaderChar"/>
    <w:uiPriority w:val="99"/>
    <w:rsid w:val="00B66AF1"/>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B66AF1"/>
    <w:rPr>
      <w:rFonts w:cs="Times New Roman"/>
    </w:rPr>
  </w:style>
  <w:style w:type="paragraph" w:styleId="Footer">
    <w:name w:val="footer"/>
    <w:basedOn w:val="Normal"/>
    <w:link w:val="FooterChar"/>
    <w:uiPriority w:val="99"/>
    <w:rsid w:val="00B66AF1"/>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B66AF1"/>
    <w:rPr>
      <w:rFonts w:cs="Times New Roman"/>
    </w:rPr>
  </w:style>
  <w:style w:type="character" w:customStyle="1" w:styleId="apple-converted-space">
    <w:name w:val="apple-converted-space"/>
    <w:basedOn w:val="DefaultParagraphFont"/>
    <w:uiPriority w:val="99"/>
    <w:rsid w:val="00275CC0"/>
    <w:rPr>
      <w:rFonts w:cs="Times New Roman"/>
    </w:rPr>
  </w:style>
  <w:style w:type="paragraph" w:styleId="BalloonText">
    <w:name w:val="Balloon Text"/>
    <w:basedOn w:val="Normal"/>
    <w:link w:val="BalloonTextChar"/>
    <w:uiPriority w:val="99"/>
    <w:semiHidden/>
    <w:rsid w:val="00AC20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20B4"/>
    <w:rPr>
      <w:rFonts w:ascii="Tahoma" w:hAnsi="Tahoma" w:cs="Tahoma"/>
      <w:sz w:val="16"/>
      <w:szCs w:val="16"/>
    </w:rPr>
  </w:style>
  <w:style w:type="table" w:styleId="TableGrid">
    <w:name w:val="Table Grid"/>
    <w:basedOn w:val="TableNormal"/>
    <w:uiPriority w:val="99"/>
    <w:rsid w:val="00D8612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140B06"/>
    <w:rPr>
      <w:rFonts w:cs="Times New Roman"/>
      <w:sz w:val="16"/>
      <w:szCs w:val="16"/>
    </w:rPr>
  </w:style>
  <w:style w:type="paragraph" w:styleId="CommentText">
    <w:name w:val="annotation text"/>
    <w:basedOn w:val="Normal"/>
    <w:link w:val="CommentTextChar"/>
    <w:uiPriority w:val="99"/>
    <w:semiHidden/>
    <w:rsid w:val="00140B06"/>
    <w:pPr>
      <w:spacing w:line="240" w:lineRule="auto"/>
    </w:pPr>
    <w:rPr>
      <w:sz w:val="20"/>
      <w:szCs w:val="20"/>
      <w:lang w:eastAsia="en-US"/>
    </w:rPr>
  </w:style>
  <w:style w:type="character" w:customStyle="1" w:styleId="CommentTextChar">
    <w:name w:val="Comment Text Char"/>
    <w:basedOn w:val="DefaultParagraphFont"/>
    <w:link w:val="CommentText"/>
    <w:uiPriority w:val="99"/>
    <w:semiHidden/>
    <w:locked/>
    <w:rsid w:val="00140B06"/>
    <w:rPr>
      <w:rFonts w:eastAsia="Times New Roman" w:cs="Times New Roman"/>
      <w:sz w:val="20"/>
      <w:szCs w:val="20"/>
      <w:lang w:eastAsia="en-US"/>
    </w:rPr>
  </w:style>
  <w:style w:type="paragraph" w:styleId="Caption">
    <w:name w:val="caption"/>
    <w:basedOn w:val="Normal"/>
    <w:next w:val="Normal"/>
    <w:uiPriority w:val="99"/>
    <w:qFormat/>
    <w:rsid w:val="00E625D7"/>
    <w:pPr>
      <w:spacing w:line="240" w:lineRule="auto"/>
    </w:pPr>
    <w:rPr>
      <w:b/>
      <w:bCs/>
      <w:color w:val="4F81BD"/>
      <w:sz w:val="18"/>
      <w:szCs w:val="18"/>
      <w:lang w:eastAsia="en-US"/>
    </w:rPr>
  </w:style>
  <w:style w:type="paragraph" w:styleId="CommentSubject">
    <w:name w:val="annotation subject"/>
    <w:basedOn w:val="CommentText"/>
    <w:next w:val="CommentText"/>
    <w:link w:val="CommentSubjectChar"/>
    <w:uiPriority w:val="99"/>
    <w:semiHidden/>
    <w:rsid w:val="003A2340"/>
    <w:rPr>
      <w:b/>
      <w:bCs/>
      <w:lang w:eastAsia="cs-CZ"/>
    </w:rPr>
  </w:style>
  <w:style w:type="character" w:customStyle="1" w:styleId="CommentSubjectChar">
    <w:name w:val="Comment Subject Char"/>
    <w:basedOn w:val="CommentTextChar"/>
    <w:link w:val="CommentSubject"/>
    <w:uiPriority w:val="99"/>
    <w:semiHidden/>
    <w:locked/>
    <w:rsid w:val="003A2340"/>
    <w:rPr>
      <w:b/>
      <w:bCs/>
    </w:rPr>
  </w:style>
  <w:style w:type="character" w:styleId="PlaceholderText">
    <w:name w:val="Placeholder Text"/>
    <w:basedOn w:val="DefaultParagraphFont"/>
    <w:uiPriority w:val="99"/>
    <w:semiHidden/>
    <w:rsid w:val="00A43196"/>
    <w:rPr>
      <w:rFonts w:cs="Times New Roman"/>
      <w:color w:val="808080"/>
    </w:rPr>
  </w:style>
</w:styles>
</file>

<file path=word/webSettings.xml><?xml version="1.0" encoding="utf-8"?>
<w:webSettings xmlns:r="http://schemas.openxmlformats.org/officeDocument/2006/relationships" xmlns:w="http://schemas.openxmlformats.org/wordprocessingml/2006/main">
  <w:divs>
    <w:div w:id="1939216675">
      <w:marLeft w:val="0"/>
      <w:marRight w:val="0"/>
      <w:marTop w:val="0"/>
      <w:marBottom w:val="0"/>
      <w:divBdr>
        <w:top w:val="none" w:sz="0" w:space="0" w:color="auto"/>
        <w:left w:val="none" w:sz="0" w:space="0" w:color="auto"/>
        <w:bottom w:val="none" w:sz="0" w:space="0" w:color="auto"/>
        <w:right w:val="none" w:sz="0" w:space="0" w:color="auto"/>
      </w:divBdr>
    </w:div>
    <w:div w:id="1939216676">
      <w:marLeft w:val="0"/>
      <w:marRight w:val="0"/>
      <w:marTop w:val="0"/>
      <w:marBottom w:val="0"/>
      <w:divBdr>
        <w:top w:val="none" w:sz="0" w:space="0" w:color="auto"/>
        <w:left w:val="none" w:sz="0" w:space="0" w:color="auto"/>
        <w:bottom w:val="none" w:sz="0" w:space="0" w:color="auto"/>
        <w:right w:val="none" w:sz="0" w:space="0" w:color="auto"/>
      </w:divBdr>
    </w:div>
    <w:div w:id="1939216677">
      <w:marLeft w:val="0"/>
      <w:marRight w:val="0"/>
      <w:marTop w:val="0"/>
      <w:marBottom w:val="0"/>
      <w:divBdr>
        <w:top w:val="none" w:sz="0" w:space="0" w:color="auto"/>
        <w:left w:val="none" w:sz="0" w:space="0" w:color="auto"/>
        <w:bottom w:val="none" w:sz="0" w:space="0" w:color="auto"/>
        <w:right w:val="none" w:sz="0" w:space="0" w:color="auto"/>
      </w:divBdr>
    </w:div>
    <w:div w:id="1939216678">
      <w:marLeft w:val="0"/>
      <w:marRight w:val="0"/>
      <w:marTop w:val="0"/>
      <w:marBottom w:val="0"/>
      <w:divBdr>
        <w:top w:val="none" w:sz="0" w:space="0" w:color="auto"/>
        <w:left w:val="none" w:sz="0" w:space="0" w:color="auto"/>
        <w:bottom w:val="none" w:sz="0" w:space="0" w:color="auto"/>
        <w:right w:val="none" w:sz="0" w:space="0" w:color="auto"/>
      </w:divBdr>
    </w:div>
    <w:div w:id="1939216679">
      <w:marLeft w:val="0"/>
      <w:marRight w:val="0"/>
      <w:marTop w:val="0"/>
      <w:marBottom w:val="0"/>
      <w:divBdr>
        <w:top w:val="none" w:sz="0" w:space="0" w:color="auto"/>
        <w:left w:val="none" w:sz="0" w:space="0" w:color="auto"/>
        <w:bottom w:val="none" w:sz="0" w:space="0" w:color="auto"/>
        <w:right w:val="none" w:sz="0" w:space="0" w:color="auto"/>
      </w:divBdr>
    </w:div>
    <w:div w:id="1939216680">
      <w:marLeft w:val="0"/>
      <w:marRight w:val="0"/>
      <w:marTop w:val="0"/>
      <w:marBottom w:val="0"/>
      <w:divBdr>
        <w:top w:val="none" w:sz="0" w:space="0" w:color="auto"/>
        <w:left w:val="none" w:sz="0" w:space="0" w:color="auto"/>
        <w:bottom w:val="none" w:sz="0" w:space="0" w:color="auto"/>
        <w:right w:val="none" w:sz="0" w:space="0" w:color="auto"/>
      </w:divBdr>
    </w:div>
    <w:div w:id="1939216681">
      <w:marLeft w:val="0"/>
      <w:marRight w:val="0"/>
      <w:marTop w:val="0"/>
      <w:marBottom w:val="0"/>
      <w:divBdr>
        <w:top w:val="none" w:sz="0" w:space="0" w:color="auto"/>
        <w:left w:val="none" w:sz="0" w:space="0" w:color="auto"/>
        <w:bottom w:val="none" w:sz="0" w:space="0" w:color="auto"/>
        <w:right w:val="none" w:sz="0" w:space="0" w:color="auto"/>
      </w:divBdr>
    </w:div>
    <w:div w:id="1939216682">
      <w:marLeft w:val="0"/>
      <w:marRight w:val="0"/>
      <w:marTop w:val="0"/>
      <w:marBottom w:val="0"/>
      <w:divBdr>
        <w:top w:val="none" w:sz="0" w:space="0" w:color="auto"/>
        <w:left w:val="none" w:sz="0" w:space="0" w:color="auto"/>
        <w:bottom w:val="none" w:sz="0" w:space="0" w:color="auto"/>
        <w:right w:val="none" w:sz="0" w:space="0" w:color="auto"/>
      </w:divBdr>
    </w:div>
    <w:div w:id="1939216683">
      <w:marLeft w:val="0"/>
      <w:marRight w:val="0"/>
      <w:marTop w:val="0"/>
      <w:marBottom w:val="0"/>
      <w:divBdr>
        <w:top w:val="none" w:sz="0" w:space="0" w:color="auto"/>
        <w:left w:val="none" w:sz="0" w:space="0" w:color="auto"/>
        <w:bottom w:val="none" w:sz="0" w:space="0" w:color="auto"/>
        <w:right w:val="none" w:sz="0" w:space="0" w:color="auto"/>
      </w:divBdr>
    </w:div>
    <w:div w:id="1939216684">
      <w:marLeft w:val="0"/>
      <w:marRight w:val="0"/>
      <w:marTop w:val="0"/>
      <w:marBottom w:val="0"/>
      <w:divBdr>
        <w:top w:val="none" w:sz="0" w:space="0" w:color="auto"/>
        <w:left w:val="none" w:sz="0" w:space="0" w:color="auto"/>
        <w:bottom w:val="none" w:sz="0" w:space="0" w:color="auto"/>
        <w:right w:val="none" w:sz="0" w:space="0" w:color="auto"/>
      </w:divBdr>
    </w:div>
    <w:div w:id="1939216685">
      <w:marLeft w:val="0"/>
      <w:marRight w:val="0"/>
      <w:marTop w:val="0"/>
      <w:marBottom w:val="0"/>
      <w:divBdr>
        <w:top w:val="none" w:sz="0" w:space="0" w:color="auto"/>
        <w:left w:val="none" w:sz="0" w:space="0" w:color="auto"/>
        <w:bottom w:val="none" w:sz="0" w:space="0" w:color="auto"/>
        <w:right w:val="none" w:sz="0" w:space="0" w:color="auto"/>
      </w:divBdr>
    </w:div>
    <w:div w:id="1939216686">
      <w:marLeft w:val="0"/>
      <w:marRight w:val="0"/>
      <w:marTop w:val="0"/>
      <w:marBottom w:val="0"/>
      <w:divBdr>
        <w:top w:val="none" w:sz="0" w:space="0" w:color="auto"/>
        <w:left w:val="none" w:sz="0" w:space="0" w:color="auto"/>
        <w:bottom w:val="none" w:sz="0" w:space="0" w:color="auto"/>
        <w:right w:val="none" w:sz="0" w:space="0" w:color="auto"/>
      </w:divBdr>
    </w:div>
    <w:div w:id="1939216687">
      <w:marLeft w:val="0"/>
      <w:marRight w:val="0"/>
      <w:marTop w:val="0"/>
      <w:marBottom w:val="0"/>
      <w:divBdr>
        <w:top w:val="none" w:sz="0" w:space="0" w:color="auto"/>
        <w:left w:val="none" w:sz="0" w:space="0" w:color="auto"/>
        <w:bottom w:val="none" w:sz="0" w:space="0" w:color="auto"/>
        <w:right w:val="none" w:sz="0" w:space="0" w:color="auto"/>
      </w:divBdr>
    </w:div>
    <w:div w:id="1939216688">
      <w:marLeft w:val="0"/>
      <w:marRight w:val="0"/>
      <w:marTop w:val="0"/>
      <w:marBottom w:val="0"/>
      <w:divBdr>
        <w:top w:val="none" w:sz="0" w:space="0" w:color="auto"/>
        <w:left w:val="none" w:sz="0" w:space="0" w:color="auto"/>
        <w:bottom w:val="none" w:sz="0" w:space="0" w:color="auto"/>
        <w:right w:val="none" w:sz="0" w:space="0" w:color="auto"/>
      </w:divBdr>
    </w:div>
    <w:div w:id="1939216689">
      <w:marLeft w:val="0"/>
      <w:marRight w:val="0"/>
      <w:marTop w:val="0"/>
      <w:marBottom w:val="0"/>
      <w:divBdr>
        <w:top w:val="none" w:sz="0" w:space="0" w:color="auto"/>
        <w:left w:val="none" w:sz="0" w:space="0" w:color="auto"/>
        <w:bottom w:val="none" w:sz="0" w:space="0" w:color="auto"/>
        <w:right w:val="none" w:sz="0" w:space="0" w:color="auto"/>
      </w:divBdr>
    </w:div>
    <w:div w:id="1939216690">
      <w:marLeft w:val="0"/>
      <w:marRight w:val="0"/>
      <w:marTop w:val="0"/>
      <w:marBottom w:val="0"/>
      <w:divBdr>
        <w:top w:val="none" w:sz="0" w:space="0" w:color="auto"/>
        <w:left w:val="none" w:sz="0" w:space="0" w:color="auto"/>
        <w:bottom w:val="none" w:sz="0" w:space="0" w:color="auto"/>
        <w:right w:val="none" w:sz="0" w:space="0" w:color="auto"/>
      </w:divBdr>
    </w:div>
    <w:div w:id="1939216691">
      <w:marLeft w:val="0"/>
      <w:marRight w:val="0"/>
      <w:marTop w:val="0"/>
      <w:marBottom w:val="0"/>
      <w:divBdr>
        <w:top w:val="none" w:sz="0" w:space="0" w:color="auto"/>
        <w:left w:val="none" w:sz="0" w:space="0" w:color="auto"/>
        <w:bottom w:val="none" w:sz="0" w:space="0" w:color="auto"/>
        <w:right w:val="none" w:sz="0" w:space="0" w:color="auto"/>
      </w:divBdr>
    </w:div>
    <w:div w:id="1939216692">
      <w:marLeft w:val="0"/>
      <w:marRight w:val="0"/>
      <w:marTop w:val="0"/>
      <w:marBottom w:val="0"/>
      <w:divBdr>
        <w:top w:val="none" w:sz="0" w:space="0" w:color="auto"/>
        <w:left w:val="none" w:sz="0" w:space="0" w:color="auto"/>
        <w:bottom w:val="none" w:sz="0" w:space="0" w:color="auto"/>
        <w:right w:val="none" w:sz="0" w:space="0" w:color="auto"/>
      </w:divBdr>
    </w:div>
    <w:div w:id="1939216693">
      <w:marLeft w:val="0"/>
      <w:marRight w:val="0"/>
      <w:marTop w:val="0"/>
      <w:marBottom w:val="0"/>
      <w:divBdr>
        <w:top w:val="none" w:sz="0" w:space="0" w:color="auto"/>
        <w:left w:val="none" w:sz="0" w:space="0" w:color="auto"/>
        <w:bottom w:val="none" w:sz="0" w:space="0" w:color="auto"/>
        <w:right w:val="none" w:sz="0" w:space="0" w:color="auto"/>
      </w:divBdr>
    </w:div>
    <w:div w:id="1939216694">
      <w:marLeft w:val="0"/>
      <w:marRight w:val="0"/>
      <w:marTop w:val="0"/>
      <w:marBottom w:val="0"/>
      <w:divBdr>
        <w:top w:val="none" w:sz="0" w:space="0" w:color="auto"/>
        <w:left w:val="none" w:sz="0" w:space="0" w:color="auto"/>
        <w:bottom w:val="none" w:sz="0" w:space="0" w:color="auto"/>
        <w:right w:val="none" w:sz="0" w:space="0" w:color="auto"/>
      </w:divBdr>
    </w:div>
    <w:div w:id="1939216695">
      <w:marLeft w:val="0"/>
      <w:marRight w:val="0"/>
      <w:marTop w:val="0"/>
      <w:marBottom w:val="0"/>
      <w:divBdr>
        <w:top w:val="none" w:sz="0" w:space="0" w:color="auto"/>
        <w:left w:val="none" w:sz="0" w:space="0" w:color="auto"/>
        <w:bottom w:val="none" w:sz="0" w:space="0" w:color="auto"/>
        <w:right w:val="none" w:sz="0" w:space="0" w:color="auto"/>
      </w:divBdr>
    </w:div>
    <w:div w:id="1939216696">
      <w:marLeft w:val="0"/>
      <w:marRight w:val="0"/>
      <w:marTop w:val="0"/>
      <w:marBottom w:val="0"/>
      <w:divBdr>
        <w:top w:val="none" w:sz="0" w:space="0" w:color="auto"/>
        <w:left w:val="none" w:sz="0" w:space="0" w:color="auto"/>
        <w:bottom w:val="none" w:sz="0" w:space="0" w:color="auto"/>
        <w:right w:val="none" w:sz="0" w:space="0" w:color="auto"/>
      </w:divBdr>
    </w:div>
    <w:div w:id="1939216697">
      <w:marLeft w:val="0"/>
      <w:marRight w:val="0"/>
      <w:marTop w:val="0"/>
      <w:marBottom w:val="0"/>
      <w:divBdr>
        <w:top w:val="none" w:sz="0" w:space="0" w:color="auto"/>
        <w:left w:val="none" w:sz="0" w:space="0" w:color="auto"/>
        <w:bottom w:val="none" w:sz="0" w:space="0" w:color="auto"/>
        <w:right w:val="none" w:sz="0" w:space="0" w:color="auto"/>
      </w:divBdr>
    </w:div>
    <w:div w:id="1939216698">
      <w:marLeft w:val="0"/>
      <w:marRight w:val="0"/>
      <w:marTop w:val="0"/>
      <w:marBottom w:val="0"/>
      <w:divBdr>
        <w:top w:val="none" w:sz="0" w:space="0" w:color="auto"/>
        <w:left w:val="none" w:sz="0" w:space="0" w:color="auto"/>
        <w:bottom w:val="none" w:sz="0" w:space="0" w:color="auto"/>
        <w:right w:val="none" w:sz="0" w:space="0" w:color="auto"/>
      </w:divBdr>
    </w:div>
    <w:div w:id="1939216699">
      <w:marLeft w:val="0"/>
      <w:marRight w:val="0"/>
      <w:marTop w:val="0"/>
      <w:marBottom w:val="0"/>
      <w:divBdr>
        <w:top w:val="none" w:sz="0" w:space="0" w:color="auto"/>
        <w:left w:val="none" w:sz="0" w:space="0" w:color="auto"/>
        <w:bottom w:val="none" w:sz="0" w:space="0" w:color="auto"/>
        <w:right w:val="none" w:sz="0" w:space="0" w:color="auto"/>
      </w:divBdr>
    </w:div>
    <w:div w:id="1939216700">
      <w:marLeft w:val="0"/>
      <w:marRight w:val="0"/>
      <w:marTop w:val="0"/>
      <w:marBottom w:val="0"/>
      <w:divBdr>
        <w:top w:val="none" w:sz="0" w:space="0" w:color="auto"/>
        <w:left w:val="none" w:sz="0" w:space="0" w:color="auto"/>
        <w:bottom w:val="none" w:sz="0" w:space="0" w:color="auto"/>
        <w:right w:val="none" w:sz="0" w:space="0" w:color="auto"/>
      </w:divBdr>
    </w:div>
    <w:div w:id="1939216701">
      <w:marLeft w:val="0"/>
      <w:marRight w:val="0"/>
      <w:marTop w:val="0"/>
      <w:marBottom w:val="0"/>
      <w:divBdr>
        <w:top w:val="none" w:sz="0" w:space="0" w:color="auto"/>
        <w:left w:val="none" w:sz="0" w:space="0" w:color="auto"/>
        <w:bottom w:val="none" w:sz="0" w:space="0" w:color="auto"/>
        <w:right w:val="none" w:sz="0" w:space="0" w:color="auto"/>
      </w:divBdr>
    </w:div>
    <w:div w:id="1939216702">
      <w:marLeft w:val="0"/>
      <w:marRight w:val="0"/>
      <w:marTop w:val="0"/>
      <w:marBottom w:val="0"/>
      <w:divBdr>
        <w:top w:val="none" w:sz="0" w:space="0" w:color="auto"/>
        <w:left w:val="none" w:sz="0" w:space="0" w:color="auto"/>
        <w:bottom w:val="none" w:sz="0" w:space="0" w:color="auto"/>
        <w:right w:val="none" w:sz="0" w:space="0" w:color="auto"/>
      </w:divBdr>
    </w:div>
    <w:div w:id="1939216703">
      <w:marLeft w:val="0"/>
      <w:marRight w:val="0"/>
      <w:marTop w:val="0"/>
      <w:marBottom w:val="0"/>
      <w:divBdr>
        <w:top w:val="none" w:sz="0" w:space="0" w:color="auto"/>
        <w:left w:val="none" w:sz="0" w:space="0" w:color="auto"/>
        <w:bottom w:val="none" w:sz="0" w:space="0" w:color="auto"/>
        <w:right w:val="none" w:sz="0" w:space="0" w:color="auto"/>
      </w:divBdr>
    </w:div>
    <w:div w:id="1939216704">
      <w:marLeft w:val="0"/>
      <w:marRight w:val="0"/>
      <w:marTop w:val="0"/>
      <w:marBottom w:val="0"/>
      <w:divBdr>
        <w:top w:val="none" w:sz="0" w:space="0" w:color="auto"/>
        <w:left w:val="none" w:sz="0" w:space="0" w:color="auto"/>
        <w:bottom w:val="none" w:sz="0" w:space="0" w:color="auto"/>
        <w:right w:val="none" w:sz="0" w:space="0" w:color="auto"/>
      </w:divBdr>
    </w:div>
    <w:div w:id="1939216705">
      <w:marLeft w:val="0"/>
      <w:marRight w:val="0"/>
      <w:marTop w:val="0"/>
      <w:marBottom w:val="0"/>
      <w:divBdr>
        <w:top w:val="none" w:sz="0" w:space="0" w:color="auto"/>
        <w:left w:val="none" w:sz="0" w:space="0" w:color="auto"/>
        <w:bottom w:val="none" w:sz="0" w:space="0" w:color="auto"/>
        <w:right w:val="none" w:sz="0" w:space="0" w:color="auto"/>
      </w:divBdr>
    </w:div>
    <w:div w:id="1939216706">
      <w:marLeft w:val="0"/>
      <w:marRight w:val="0"/>
      <w:marTop w:val="0"/>
      <w:marBottom w:val="0"/>
      <w:divBdr>
        <w:top w:val="none" w:sz="0" w:space="0" w:color="auto"/>
        <w:left w:val="none" w:sz="0" w:space="0" w:color="auto"/>
        <w:bottom w:val="none" w:sz="0" w:space="0" w:color="auto"/>
        <w:right w:val="none" w:sz="0" w:space="0" w:color="auto"/>
      </w:divBdr>
    </w:div>
    <w:div w:id="1939216707">
      <w:marLeft w:val="0"/>
      <w:marRight w:val="0"/>
      <w:marTop w:val="0"/>
      <w:marBottom w:val="0"/>
      <w:divBdr>
        <w:top w:val="none" w:sz="0" w:space="0" w:color="auto"/>
        <w:left w:val="none" w:sz="0" w:space="0" w:color="auto"/>
        <w:bottom w:val="none" w:sz="0" w:space="0" w:color="auto"/>
        <w:right w:val="none" w:sz="0" w:space="0" w:color="auto"/>
      </w:divBdr>
    </w:div>
    <w:div w:id="1939216708">
      <w:marLeft w:val="0"/>
      <w:marRight w:val="0"/>
      <w:marTop w:val="0"/>
      <w:marBottom w:val="0"/>
      <w:divBdr>
        <w:top w:val="none" w:sz="0" w:space="0" w:color="auto"/>
        <w:left w:val="none" w:sz="0" w:space="0" w:color="auto"/>
        <w:bottom w:val="none" w:sz="0" w:space="0" w:color="auto"/>
        <w:right w:val="none" w:sz="0" w:space="0" w:color="auto"/>
      </w:divBdr>
    </w:div>
    <w:div w:id="1939216709">
      <w:marLeft w:val="0"/>
      <w:marRight w:val="0"/>
      <w:marTop w:val="0"/>
      <w:marBottom w:val="0"/>
      <w:divBdr>
        <w:top w:val="none" w:sz="0" w:space="0" w:color="auto"/>
        <w:left w:val="none" w:sz="0" w:space="0" w:color="auto"/>
        <w:bottom w:val="none" w:sz="0" w:space="0" w:color="auto"/>
        <w:right w:val="none" w:sz="0" w:space="0" w:color="auto"/>
      </w:divBdr>
    </w:div>
    <w:div w:id="1939216710">
      <w:marLeft w:val="0"/>
      <w:marRight w:val="0"/>
      <w:marTop w:val="0"/>
      <w:marBottom w:val="0"/>
      <w:divBdr>
        <w:top w:val="none" w:sz="0" w:space="0" w:color="auto"/>
        <w:left w:val="none" w:sz="0" w:space="0" w:color="auto"/>
        <w:bottom w:val="none" w:sz="0" w:space="0" w:color="auto"/>
        <w:right w:val="none" w:sz="0" w:space="0" w:color="auto"/>
      </w:divBdr>
    </w:div>
    <w:div w:id="1939216711">
      <w:marLeft w:val="0"/>
      <w:marRight w:val="0"/>
      <w:marTop w:val="0"/>
      <w:marBottom w:val="0"/>
      <w:divBdr>
        <w:top w:val="none" w:sz="0" w:space="0" w:color="auto"/>
        <w:left w:val="none" w:sz="0" w:space="0" w:color="auto"/>
        <w:bottom w:val="none" w:sz="0" w:space="0" w:color="auto"/>
        <w:right w:val="none" w:sz="0" w:space="0" w:color="auto"/>
      </w:divBdr>
    </w:div>
    <w:div w:id="1939216712">
      <w:marLeft w:val="0"/>
      <w:marRight w:val="0"/>
      <w:marTop w:val="0"/>
      <w:marBottom w:val="0"/>
      <w:divBdr>
        <w:top w:val="none" w:sz="0" w:space="0" w:color="auto"/>
        <w:left w:val="none" w:sz="0" w:space="0" w:color="auto"/>
        <w:bottom w:val="none" w:sz="0" w:space="0" w:color="auto"/>
        <w:right w:val="none" w:sz="0" w:space="0" w:color="auto"/>
      </w:divBdr>
    </w:div>
    <w:div w:id="1939216713">
      <w:marLeft w:val="0"/>
      <w:marRight w:val="0"/>
      <w:marTop w:val="0"/>
      <w:marBottom w:val="0"/>
      <w:divBdr>
        <w:top w:val="none" w:sz="0" w:space="0" w:color="auto"/>
        <w:left w:val="none" w:sz="0" w:space="0" w:color="auto"/>
        <w:bottom w:val="none" w:sz="0" w:space="0" w:color="auto"/>
        <w:right w:val="none" w:sz="0" w:space="0" w:color="auto"/>
      </w:divBdr>
    </w:div>
    <w:div w:id="1939216714">
      <w:marLeft w:val="0"/>
      <w:marRight w:val="0"/>
      <w:marTop w:val="0"/>
      <w:marBottom w:val="0"/>
      <w:divBdr>
        <w:top w:val="none" w:sz="0" w:space="0" w:color="auto"/>
        <w:left w:val="none" w:sz="0" w:space="0" w:color="auto"/>
        <w:bottom w:val="none" w:sz="0" w:space="0" w:color="auto"/>
        <w:right w:val="none" w:sz="0" w:space="0" w:color="auto"/>
      </w:divBdr>
    </w:div>
    <w:div w:id="1939216715">
      <w:marLeft w:val="0"/>
      <w:marRight w:val="0"/>
      <w:marTop w:val="0"/>
      <w:marBottom w:val="0"/>
      <w:divBdr>
        <w:top w:val="none" w:sz="0" w:space="0" w:color="auto"/>
        <w:left w:val="none" w:sz="0" w:space="0" w:color="auto"/>
        <w:bottom w:val="none" w:sz="0" w:space="0" w:color="auto"/>
        <w:right w:val="none" w:sz="0" w:space="0" w:color="auto"/>
      </w:divBdr>
    </w:div>
    <w:div w:id="1939216716">
      <w:marLeft w:val="0"/>
      <w:marRight w:val="0"/>
      <w:marTop w:val="0"/>
      <w:marBottom w:val="0"/>
      <w:divBdr>
        <w:top w:val="none" w:sz="0" w:space="0" w:color="auto"/>
        <w:left w:val="none" w:sz="0" w:space="0" w:color="auto"/>
        <w:bottom w:val="none" w:sz="0" w:space="0" w:color="auto"/>
        <w:right w:val="none" w:sz="0" w:space="0" w:color="auto"/>
      </w:divBdr>
    </w:div>
    <w:div w:id="1939216717">
      <w:marLeft w:val="0"/>
      <w:marRight w:val="0"/>
      <w:marTop w:val="0"/>
      <w:marBottom w:val="0"/>
      <w:divBdr>
        <w:top w:val="none" w:sz="0" w:space="0" w:color="auto"/>
        <w:left w:val="none" w:sz="0" w:space="0" w:color="auto"/>
        <w:bottom w:val="none" w:sz="0" w:space="0" w:color="auto"/>
        <w:right w:val="none" w:sz="0" w:space="0" w:color="auto"/>
      </w:divBdr>
    </w:div>
    <w:div w:id="1939216718">
      <w:marLeft w:val="0"/>
      <w:marRight w:val="0"/>
      <w:marTop w:val="0"/>
      <w:marBottom w:val="0"/>
      <w:divBdr>
        <w:top w:val="none" w:sz="0" w:space="0" w:color="auto"/>
        <w:left w:val="none" w:sz="0" w:space="0" w:color="auto"/>
        <w:bottom w:val="none" w:sz="0" w:space="0" w:color="auto"/>
        <w:right w:val="none" w:sz="0" w:space="0" w:color="auto"/>
      </w:divBdr>
    </w:div>
    <w:div w:id="1939216719">
      <w:marLeft w:val="0"/>
      <w:marRight w:val="0"/>
      <w:marTop w:val="0"/>
      <w:marBottom w:val="0"/>
      <w:divBdr>
        <w:top w:val="none" w:sz="0" w:space="0" w:color="auto"/>
        <w:left w:val="none" w:sz="0" w:space="0" w:color="auto"/>
        <w:bottom w:val="none" w:sz="0" w:space="0" w:color="auto"/>
        <w:right w:val="none" w:sz="0" w:space="0" w:color="auto"/>
      </w:divBdr>
    </w:div>
    <w:div w:id="1939216720">
      <w:marLeft w:val="0"/>
      <w:marRight w:val="0"/>
      <w:marTop w:val="0"/>
      <w:marBottom w:val="0"/>
      <w:divBdr>
        <w:top w:val="none" w:sz="0" w:space="0" w:color="auto"/>
        <w:left w:val="none" w:sz="0" w:space="0" w:color="auto"/>
        <w:bottom w:val="none" w:sz="0" w:space="0" w:color="auto"/>
        <w:right w:val="none" w:sz="0" w:space="0" w:color="auto"/>
      </w:divBdr>
    </w:div>
    <w:div w:id="1939216721">
      <w:marLeft w:val="0"/>
      <w:marRight w:val="0"/>
      <w:marTop w:val="0"/>
      <w:marBottom w:val="0"/>
      <w:divBdr>
        <w:top w:val="none" w:sz="0" w:space="0" w:color="auto"/>
        <w:left w:val="none" w:sz="0" w:space="0" w:color="auto"/>
        <w:bottom w:val="none" w:sz="0" w:space="0" w:color="auto"/>
        <w:right w:val="none" w:sz="0" w:space="0" w:color="auto"/>
      </w:divBdr>
    </w:div>
    <w:div w:id="1939216722">
      <w:marLeft w:val="0"/>
      <w:marRight w:val="0"/>
      <w:marTop w:val="0"/>
      <w:marBottom w:val="0"/>
      <w:divBdr>
        <w:top w:val="none" w:sz="0" w:space="0" w:color="auto"/>
        <w:left w:val="none" w:sz="0" w:space="0" w:color="auto"/>
        <w:bottom w:val="none" w:sz="0" w:space="0" w:color="auto"/>
        <w:right w:val="none" w:sz="0" w:space="0" w:color="auto"/>
      </w:divBdr>
    </w:div>
    <w:div w:id="1939216723">
      <w:marLeft w:val="0"/>
      <w:marRight w:val="0"/>
      <w:marTop w:val="0"/>
      <w:marBottom w:val="0"/>
      <w:divBdr>
        <w:top w:val="none" w:sz="0" w:space="0" w:color="auto"/>
        <w:left w:val="none" w:sz="0" w:space="0" w:color="auto"/>
        <w:bottom w:val="none" w:sz="0" w:space="0" w:color="auto"/>
        <w:right w:val="none" w:sz="0" w:space="0" w:color="auto"/>
      </w:divBdr>
    </w:div>
    <w:div w:id="1939216724">
      <w:marLeft w:val="0"/>
      <w:marRight w:val="0"/>
      <w:marTop w:val="0"/>
      <w:marBottom w:val="0"/>
      <w:divBdr>
        <w:top w:val="none" w:sz="0" w:space="0" w:color="auto"/>
        <w:left w:val="none" w:sz="0" w:space="0" w:color="auto"/>
        <w:bottom w:val="none" w:sz="0" w:space="0" w:color="auto"/>
        <w:right w:val="none" w:sz="0" w:space="0" w:color="auto"/>
      </w:divBdr>
    </w:div>
    <w:div w:id="1939216725">
      <w:marLeft w:val="0"/>
      <w:marRight w:val="0"/>
      <w:marTop w:val="0"/>
      <w:marBottom w:val="0"/>
      <w:divBdr>
        <w:top w:val="none" w:sz="0" w:space="0" w:color="auto"/>
        <w:left w:val="none" w:sz="0" w:space="0" w:color="auto"/>
        <w:bottom w:val="none" w:sz="0" w:space="0" w:color="auto"/>
        <w:right w:val="none" w:sz="0" w:space="0" w:color="auto"/>
      </w:divBdr>
    </w:div>
    <w:div w:id="1939216726">
      <w:marLeft w:val="0"/>
      <w:marRight w:val="0"/>
      <w:marTop w:val="0"/>
      <w:marBottom w:val="0"/>
      <w:divBdr>
        <w:top w:val="none" w:sz="0" w:space="0" w:color="auto"/>
        <w:left w:val="none" w:sz="0" w:space="0" w:color="auto"/>
        <w:bottom w:val="none" w:sz="0" w:space="0" w:color="auto"/>
        <w:right w:val="none" w:sz="0" w:space="0" w:color="auto"/>
      </w:divBdr>
    </w:div>
    <w:div w:id="1939216727">
      <w:marLeft w:val="0"/>
      <w:marRight w:val="0"/>
      <w:marTop w:val="0"/>
      <w:marBottom w:val="0"/>
      <w:divBdr>
        <w:top w:val="none" w:sz="0" w:space="0" w:color="auto"/>
        <w:left w:val="none" w:sz="0" w:space="0" w:color="auto"/>
        <w:bottom w:val="none" w:sz="0" w:space="0" w:color="auto"/>
        <w:right w:val="none" w:sz="0" w:space="0" w:color="auto"/>
      </w:divBdr>
    </w:div>
    <w:div w:id="1939216728">
      <w:marLeft w:val="0"/>
      <w:marRight w:val="0"/>
      <w:marTop w:val="0"/>
      <w:marBottom w:val="0"/>
      <w:divBdr>
        <w:top w:val="none" w:sz="0" w:space="0" w:color="auto"/>
        <w:left w:val="none" w:sz="0" w:space="0" w:color="auto"/>
        <w:bottom w:val="none" w:sz="0" w:space="0" w:color="auto"/>
        <w:right w:val="none" w:sz="0" w:space="0" w:color="auto"/>
      </w:divBdr>
    </w:div>
    <w:div w:id="19392167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15</Pages>
  <Words>5259</Words>
  <Characters>31029</Characters>
  <Application>Microsoft Office Outlook</Application>
  <DocSecurity>0</DocSecurity>
  <Lines>0</Lines>
  <Paragraphs>0</Paragraphs>
  <ScaleCrop>false</ScaleCrop>
  <Company>CERGE EI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ldusek</dc:creator>
  <cp:keywords/>
  <dc:description/>
  <cp:lastModifiedBy>Pavla Psenickova</cp:lastModifiedBy>
  <cp:revision>2</cp:revision>
  <cp:lastPrinted>2013-05-15T13:36:00Z</cp:lastPrinted>
  <dcterms:created xsi:type="dcterms:W3CDTF">2013-05-27T10:44:00Z</dcterms:created>
  <dcterms:modified xsi:type="dcterms:W3CDTF">2013-05-27T10:44:00Z</dcterms:modified>
</cp:coreProperties>
</file>