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11" w:rsidRPr="00167CEE" w:rsidRDefault="00440F11" w:rsidP="00167CEE">
      <w:pPr>
        <w:spacing w:after="60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67CEE">
        <w:rPr>
          <w:rFonts w:ascii="Arial" w:hAnsi="Arial" w:cs="Arial"/>
          <w:b/>
          <w:sz w:val="22"/>
          <w:szCs w:val="22"/>
        </w:rPr>
        <w:t>III.</w:t>
      </w:r>
    </w:p>
    <w:p w:rsidR="00440F11" w:rsidRPr="0057578A" w:rsidRDefault="008247DA" w:rsidP="00167CEE">
      <w:pPr>
        <w:spacing w:after="600"/>
        <w:jc w:val="center"/>
      </w:pPr>
      <w:r>
        <w:rPr>
          <w:rFonts w:ascii="Arial" w:hAnsi="Arial" w:cs="Arial"/>
          <w:b/>
          <w:szCs w:val="22"/>
        </w:rPr>
        <w:t>ODŮVODNĚNÍ</w:t>
      </w:r>
    </w:p>
    <w:p w:rsidR="00440F11" w:rsidRPr="00167CEE" w:rsidRDefault="00440F11" w:rsidP="00440F1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67CEE">
        <w:rPr>
          <w:rFonts w:ascii="Arial" w:hAnsi="Arial" w:cs="Arial"/>
          <w:b/>
          <w:bCs/>
          <w:sz w:val="22"/>
          <w:szCs w:val="22"/>
        </w:rPr>
        <w:t>Obecná část</w:t>
      </w:r>
    </w:p>
    <w:p w:rsidR="00440F11" w:rsidRPr="00167CEE" w:rsidRDefault="00440F11" w:rsidP="00440F11">
      <w:pPr>
        <w:jc w:val="both"/>
        <w:rPr>
          <w:rFonts w:ascii="Arial" w:hAnsi="Arial" w:cs="Arial"/>
          <w:sz w:val="22"/>
          <w:szCs w:val="22"/>
        </w:rPr>
      </w:pPr>
    </w:p>
    <w:p w:rsidR="00440F11" w:rsidRPr="00167CEE" w:rsidRDefault="00440F11" w:rsidP="00440F11">
      <w:pPr>
        <w:spacing w:before="120"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7CEE">
        <w:rPr>
          <w:rFonts w:ascii="Arial" w:hAnsi="Arial" w:cs="Arial"/>
          <w:b/>
          <w:color w:val="000000"/>
          <w:sz w:val="22"/>
          <w:szCs w:val="22"/>
          <w:u w:val="single"/>
        </w:rPr>
        <w:t>Název</w:t>
      </w:r>
    </w:p>
    <w:p w:rsidR="00440F11" w:rsidRPr="00167CEE" w:rsidRDefault="00440F11" w:rsidP="00440F11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167CEE">
        <w:rPr>
          <w:rFonts w:ascii="Arial" w:hAnsi="Arial" w:cs="Arial"/>
          <w:b w:val="0"/>
          <w:bCs w:val="0"/>
          <w:color w:val="000000"/>
          <w:sz w:val="22"/>
          <w:szCs w:val="22"/>
        </w:rPr>
        <w:t>Návrh vyhlášky, kterou se mění vyhláška č. 503/2002 Sb., kterou se provádějí některá ustanovení zákona č. 563/1991 Sb., o účetnictví, ve znění pozdějších předpisů, pro zdravotní pojišťovny, ve znění pozdějších předpisů, (dále jen „návrh vyhlášky“).</w:t>
      </w:r>
    </w:p>
    <w:p w:rsidR="00440F11" w:rsidRPr="00167CEE" w:rsidRDefault="00440F11" w:rsidP="00440F11">
      <w:pPr>
        <w:spacing w:before="120"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7CEE">
        <w:rPr>
          <w:rFonts w:ascii="Arial" w:hAnsi="Arial" w:cs="Arial"/>
          <w:b/>
          <w:color w:val="000000"/>
          <w:sz w:val="22"/>
          <w:szCs w:val="22"/>
          <w:u w:val="single"/>
        </w:rPr>
        <w:t>Vysvětlení nezbytnosti navrhované právní úpravy identifikací problémů, cílů, kterých má být dosaženo a rizik spojených s nečinností</w:t>
      </w:r>
    </w:p>
    <w:p w:rsidR="00440F11" w:rsidRPr="00167CEE" w:rsidRDefault="00440F11" w:rsidP="00440F11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167CEE">
        <w:rPr>
          <w:rFonts w:ascii="Arial" w:hAnsi="Arial" w:cs="Arial"/>
          <w:b w:val="0"/>
          <w:bCs w:val="0"/>
          <w:color w:val="000000"/>
          <w:sz w:val="22"/>
          <w:szCs w:val="22"/>
        </w:rPr>
        <w:t>Důvodem předložení návrhu vyhlášky jsou zejména změny:</w:t>
      </w:r>
    </w:p>
    <w:p w:rsidR="00440F11" w:rsidRPr="00167CEE" w:rsidRDefault="00440F11" w:rsidP="00440F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67CEE">
        <w:rPr>
          <w:rFonts w:ascii="Arial" w:hAnsi="Arial" w:cs="Arial"/>
          <w:sz w:val="22"/>
          <w:szCs w:val="22"/>
        </w:rPr>
        <w:t>legislativně technického charakteru související se zajištěním souladu se zákonem č. 221/2015 Sb., kterým se mění zákon č. 563/1991 Sb., o účetnictví, ve znění pozdějších předpisů, a některé další zákony, (dále jen „zákon č. 221/2015 Sb.“) který především provádí dokončení transpozice směrnice Evropského parlamentu a Rady 2013/34/EU ze dne 26. června 2013 o ročních účetních závěrkách, konsolidovaných účetních závěrkách a souvisejících zprávách některých forem podniků, o změně směrnic Evropského p</w:t>
      </w:r>
      <w:r w:rsidR="00167CEE">
        <w:rPr>
          <w:rFonts w:ascii="Arial" w:hAnsi="Arial" w:cs="Arial"/>
          <w:sz w:val="22"/>
          <w:szCs w:val="22"/>
        </w:rPr>
        <w:t>arlamentu a Rady 2006/43/ES a o </w:t>
      </w:r>
      <w:r w:rsidRPr="00167CEE">
        <w:rPr>
          <w:rFonts w:ascii="Arial" w:hAnsi="Arial" w:cs="Arial"/>
          <w:sz w:val="22"/>
          <w:szCs w:val="22"/>
        </w:rPr>
        <w:t>zrušení směrnic Rady 78/660/EHS a 83/349/EHS,</w:t>
      </w:r>
    </w:p>
    <w:p w:rsidR="00440F11" w:rsidRPr="00167CEE" w:rsidRDefault="00440F11" w:rsidP="00440F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67CEE">
        <w:rPr>
          <w:rFonts w:ascii="Arial" w:hAnsi="Arial" w:cs="Arial"/>
          <w:sz w:val="22"/>
          <w:szCs w:val="22"/>
        </w:rPr>
        <w:t>legislativně technického charakteru související s návrhem vyhlášky, kterou se mění vyhláška č. 502/2002 Sb., kterou se provádějí některá ustanovení zákona č. 563/1991 Sb., o účetnictví, ve znění pozdějších předpisů, pro účetní jednotky, které jsou pojišťovnami, ve znění pozdějších předpisů, (dále jen „návrh vyhlášky č. 502/2002 Sb.“),</w:t>
      </w:r>
    </w:p>
    <w:p w:rsidR="00440F11" w:rsidRPr="00167CEE" w:rsidRDefault="00440F11" w:rsidP="00440F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67CEE">
        <w:rPr>
          <w:rFonts w:ascii="Arial" w:hAnsi="Arial" w:cs="Arial"/>
          <w:sz w:val="22"/>
          <w:szCs w:val="22"/>
        </w:rPr>
        <w:t>související s upřesněním obsahového vymezení položky rozvahy „C. Dlouhodobý hmotný majetek“, konkrétně práva stavby a věcných břemen, a</w:t>
      </w:r>
    </w:p>
    <w:p w:rsidR="00440F11" w:rsidRPr="00167CEE" w:rsidRDefault="00440F11" w:rsidP="00440F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67CEE">
        <w:rPr>
          <w:rFonts w:ascii="Arial" w:hAnsi="Arial" w:cs="Arial"/>
          <w:sz w:val="22"/>
          <w:szCs w:val="22"/>
        </w:rPr>
        <w:t xml:space="preserve">legislativně technického charakteru za účelem zvýšení právní jistoty vybraných účetních jednotek.  </w:t>
      </w:r>
    </w:p>
    <w:p w:rsidR="00440F11" w:rsidRPr="00167CEE" w:rsidRDefault="00440F11" w:rsidP="00440F11">
      <w:pPr>
        <w:pStyle w:val="Nadpis1"/>
        <w:spacing w:before="120" w:after="120"/>
        <w:ind w:firstLine="357"/>
        <w:rPr>
          <w:rFonts w:ascii="Arial" w:hAnsi="Arial" w:cs="Arial"/>
          <w:sz w:val="22"/>
          <w:szCs w:val="22"/>
        </w:rPr>
      </w:pPr>
      <w:r w:rsidRPr="00167CEE">
        <w:rPr>
          <w:rFonts w:ascii="Arial" w:hAnsi="Arial" w:cs="Arial"/>
          <w:b w:val="0"/>
          <w:bCs w:val="0"/>
          <w:color w:val="000000"/>
          <w:sz w:val="22"/>
          <w:szCs w:val="22"/>
        </w:rPr>
        <w:t>Cílem předložení návrhu vyhlášky je</w:t>
      </w:r>
      <w:r w:rsidRPr="00167CEE">
        <w:rPr>
          <w:rFonts w:ascii="Arial" w:hAnsi="Arial" w:cs="Arial"/>
          <w:sz w:val="22"/>
          <w:szCs w:val="22"/>
        </w:rPr>
        <w:t xml:space="preserve"> </w:t>
      </w:r>
      <w:r w:rsidRPr="00167CEE">
        <w:rPr>
          <w:rFonts w:ascii="Arial" w:hAnsi="Arial" w:cs="Arial"/>
          <w:b w:val="0"/>
          <w:sz w:val="22"/>
          <w:szCs w:val="22"/>
        </w:rPr>
        <w:t>posílení právní jistoty zdravotních pojišťoven, a to v souvislosti se zajištěním souladu se zákonem č. 221/2015 Sb. a s návrhem vyhlášky č. 502/2002 Sb.</w:t>
      </w:r>
    </w:p>
    <w:p w:rsidR="00440F11" w:rsidRPr="00167CEE" w:rsidRDefault="00440F11" w:rsidP="00440F11">
      <w:pPr>
        <w:spacing w:before="120" w:after="120"/>
        <w:ind w:firstLine="357"/>
        <w:jc w:val="both"/>
        <w:rPr>
          <w:rFonts w:ascii="Arial" w:hAnsi="Arial" w:cs="Arial"/>
          <w:bCs/>
          <w:sz w:val="22"/>
          <w:szCs w:val="22"/>
        </w:rPr>
      </w:pPr>
      <w:r w:rsidRPr="00167CEE">
        <w:rPr>
          <w:rFonts w:ascii="Arial" w:hAnsi="Arial" w:cs="Arial"/>
          <w:sz w:val="22"/>
          <w:szCs w:val="22"/>
        </w:rPr>
        <w:t xml:space="preserve">Pokud by návrh vyhlášky nereagoval na výše uvedený cíl, tak by docházelo k možným nesprávným interpretacím některých ustanovení vyhlášky č. 503/2002 Sb., kterou se provádějí některá ustanovení zákona č. 563/1991 Sb., o účetnictví, ve znění pozdějších předpisů, pro </w:t>
      </w:r>
      <w:r w:rsidRPr="00167CEE">
        <w:rPr>
          <w:rFonts w:ascii="Arial" w:hAnsi="Arial" w:cs="Arial"/>
          <w:bCs/>
          <w:sz w:val="22"/>
          <w:szCs w:val="22"/>
        </w:rPr>
        <w:t xml:space="preserve">zdravotní pojišťovny, ve znění pozdějších předpisů, (dále jen „vyhláška“). </w:t>
      </w:r>
    </w:p>
    <w:p w:rsidR="00440F11" w:rsidRPr="00167CEE" w:rsidRDefault="00440F11" w:rsidP="00440F11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167CEE">
        <w:rPr>
          <w:rFonts w:ascii="Arial" w:hAnsi="Arial" w:cs="Arial"/>
          <w:sz w:val="22"/>
          <w:szCs w:val="22"/>
        </w:rPr>
        <w:t>Zachování stávajícího stavu není možné vzhledem k zákonu č. 221/2015 Sb. a návrhu vyhlášky č. 502/2002 Sb. Zachování stávajícího stavu by vyvolalo právní nejistotu dotčených účetních jednotek.</w:t>
      </w:r>
    </w:p>
    <w:p w:rsidR="00440F11" w:rsidRPr="00167CEE" w:rsidRDefault="00440F11" w:rsidP="00440F11">
      <w:pPr>
        <w:spacing w:before="120"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7CEE">
        <w:rPr>
          <w:rFonts w:ascii="Arial" w:hAnsi="Arial" w:cs="Arial"/>
          <w:b/>
          <w:color w:val="000000"/>
          <w:sz w:val="22"/>
          <w:szCs w:val="22"/>
          <w:u w:val="single"/>
        </w:rPr>
        <w:t>Dotčené subjekty</w:t>
      </w:r>
    </w:p>
    <w:p w:rsidR="00440F11" w:rsidRPr="00167CEE" w:rsidRDefault="00440F11" w:rsidP="00440F11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167CEE">
        <w:rPr>
          <w:rFonts w:ascii="Arial" w:hAnsi="Arial" w:cs="Arial"/>
          <w:b w:val="0"/>
          <w:bCs w:val="0"/>
          <w:color w:val="000000"/>
          <w:sz w:val="22"/>
          <w:szCs w:val="22"/>
        </w:rPr>
        <w:t>Dotčenými subjekty jsou zdravotní pojišťovny.</w:t>
      </w:r>
    </w:p>
    <w:p w:rsidR="00440F11" w:rsidRPr="00167CEE" w:rsidRDefault="00440F11" w:rsidP="00440F11">
      <w:pPr>
        <w:spacing w:before="120"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7CE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Implementace a vynucování </w:t>
      </w:r>
    </w:p>
    <w:p w:rsidR="00440F11" w:rsidRPr="00167CEE" w:rsidRDefault="00440F11" w:rsidP="00440F11">
      <w:pPr>
        <w:pStyle w:val="Nadpis1"/>
        <w:keepNext w:val="0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167CEE">
        <w:rPr>
          <w:rFonts w:ascii="Arial" w:hAnsi="Arial" w:cs="Arial"/>
          <w:b w:val="0"/>
          <w:bCs w:val="0"/>
          <w:color w:val="000000"/>
          <w:sz w:val="22"/>
          <w:szCs w:val="22"/>
        </w:rPr>
        <w:t>Návrh vyhlášky neobsahuje sankce, účetní jednotky však při vedení nesprávného účetnictví podléhají sankcím podle § 37 zákona č. 563/1991 Sb., o účetnictví, ve znění pozdějších předpisů, (dále jen „zákon o účetnictví“).</w:t>
      </w:r>
    </w:p>
    <w:p w:rsidR="00440F11" w:rsidRPr="00167CEE" w:rsidRDefault="00440F11" w:rsidP="00440F11">
      <w:pPr>
        <w:spacing w:before="120"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7CE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Zhodnocení souladu navrhované právní úpravy se zákonem, k jehož provedení je navržena, a zároveň zhodnocení souladu navrhované právní úpravy s předpisy </w:t>
      </w:r>
      <w:r w:rsidRPr="00167CEE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Evropské unie, judikaturou soudních orgánů Evropské unie a obecnými právními zásadami práva Evropské unie</w:t>
      </w:r>
    </w:p>
    <w:p w:rsidR="00440F11" w:rsidRPr="00167CEE" w:rsidRDefault="00440F11" w:rsidP="00440F11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167CEE">
        <w:rPr>
          <w:rFonts w:ascii="Arial" w:hAnsi="Arial" w:cs="Arial"/>
          <w:b w:val="0"/>
          <w:bCs w:val="0"/>
          <w:color w:val="000000"/>
          <w:sz w:val="22"/>
          <w:szCs w:val="22"/>
        </w:rPr>
        <w:t>Návrh vyhlášky je v souladu se zmocněním uvedeným</w:t>
      </w:r>
      <w:r w:rsidR="00167CEE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v § 37b odst. 1 zákona o </w:t>
      </w:r>
      <w:r w:rsidRPr="00167CEE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účetnictví k provedení § 4 odst. 8 a § 24 odst. 5. Návrh vyhlášky je s tímto zmocněním plně v souladu. </w:t>
      </w:r>
    </w:p>
    <w:p w:rsidR="00440F11" w:rsidRPr="00167CEE" w:rsidRDefault="00440F11" w:rsidP="00440F11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167CEE">
        <w:rPr>
          <w:rFonts w:ascii="Arial" w:hAnsi="Arial" w:cs="Arial"/>
          <w:b w:val="0"/>
          <w:bCs w:val="0"/>
          <w:color w:val="000000"/>
          <w:sz w:val="22"/>
          <w:szCs w:val="22"/>
        </w:rPr>
        <w:t>Návrh vyhlášky nesouvisí s oblastí čerpání prostř</w:t>
      </w:r>
      <w:r w:rsidR="00167CEE">
        <w:rPr>
          <w:rFonts w:ascii="Arial" w:hAnsi="Arial" w:cs="Arial"/>
          <w:b w:val="0"/>
          <w:bCs w:val="0"/>
          <w:color w:val="000000"/>
          <w:sz w:val="22"/>
          <w:szCs w:val="22"/>
        </w:rPr>
        <w:t>edků z rozpočtu Evropské unie a </w:t>
      </w:r>
      <w:r w:rsidRPr="00167CEE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ochrany finančních zájmů Evropské unie.  </w:t>
      </w:r>
    </w:p>
    <w:p w:rsidR="00440F11" w:rsidRPr="00167CEE" w:rsidRDefault="00440F11" w:rsidP="00440F11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167CEE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Mezinárodní smlouvy, jimiž je Česká republika vázána, ani judikatura Evropského soudu pro lidská práva, se na navrhovanou právní úpravu nevztahují. </w:t>
      </w:r>
    </w:p>
    <w:p w:rsidR="00440F11" w:rsidRPr="00167CEE" w:rsidRDefault="00440F11" w:rsidP="00440F11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167CEE">
        <w:rPr>
          <w:rFonts w:ascii="Arial" w:hAnsi="Arial" w:cs="Arial"/>
          <w:sz w:val="22"/>
          <w:szCs w:val="22"/>
        </w:rPr>
        <w:t>Návrh vyhlášky není v rozporu s právem Evropské unie a judikaturou Soudního dvora Evropské unie.</w:t>
      </w:r>
    </w:p>
    <w:p w:rsidR="00440F11" w:rsidRPr="00167CEE" w:rsidRDefault="00440F11" w:rsidP="00440F11">
      <w:pPr>
        <w:widowControl w:val="0"/>
        <w:spacing w:before="120"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7CEE">
        <w:rPr>
          <w:rFonts w:ascii="Arial" w:hAnsi="Arial" w:cs="Arial"/>
          <w:b/>
          <w:color w:val="000000"/>
          <w:sz w:val="22"/>
          <w:szCs w:val="22"/>
          <w:u w:val="single"/>
        </w:rPr>
        <w:t>Předpokládaný hospodářský a finanční dopad navrhované právní úpravy na státní rozpočet, ostatní veřejné rozpočty a na podnikatelské prostředí v České republice, dále sociální dopady včetně dopadů na specifické skupiny obyvatel, zejména osoby sociálně slabé, osoby se zdravotním postižením a národnostní menšiny, a dopady na životní prostředí</w:t>
      </w:r>
    </w:p>
    <w:p w:rsidR="00440F11" w:rsidRPr="00167CEE" w:rsidRDefault="00440F11" w:rsidP="00CA2B22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167CEE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Návrh vyhlášky nepředpokládá dopad navrhované právní úpravy na státní rozpočet České republiky </w:t>
      </w:r>
      <w:r w:rsidR="00CA2B22" w:rsidRPr="00167CEE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a na ostatní veřejné rozpočty. </w:t>
      </w:r>
      <w:r w:rsidRPr="00167CEE">
        <w:rPr>
          <w:rFonts w:ascii="Arial" w:hAnsi="Arial" w:cs="Arial"/>
          <w:b w:val="0"/>
          <w:bCs w:val="0"/>
          <w:color w:val="000000"/>
          <w:sz w:val="22"/>
          <w:szCs w:val="22"/>
        </w:rPr>
        <w:t>Návrh vyhlášky nepředpokládá hospodářský ani finanční dopad navrhované právní úpr</w:t>
      </w:r>
      <w:r w:rsidR="00CA2B22" w:rsidRPr="00167CEE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avy na podnikatelské prostředí. </w:t>
      </w:r>
      <w:r w:rsidRPr="00167CEE">
        <w:rPr>
          <w:rFonts w:ascii="Arial" w:hAnsi="Arial" w:cs="Arial"/>
          <w:b w:val="0"/>
          <w:bCs w:val="0"/>
          <w:color w:val="000000"/>
          <w:sz w:val="22"/>
          <w:szCs w:val="22"/>
        </w:rPr>
        <w:t>Návrh vyhlášky nepředpokládá sociální dopady ani dopady na o</w:t>
      </w:r>
      <w:r w:rsidR="00167CEE">
        <w:rPr>
          <w:rFonts w:ascii="Arial" w:hAnsi="Arial" w:cs="Arial"/>
          <w:b w:val="0"/>
          <w:bCs w:val="0"/>
          <w:color w:val="000000"/>
          <w:sz w:val="22"/>
          <w:szCs w:val="22"/>
        </w:rPr>
        <w:t>soby se zdravotním postižením a </w:t>
      </w:r>
      <w:r w:rsidRPr="00167CEE">
        <w:rPr>
          <w:rFonts w:ascii="Arial" w:hAnsi="Arial" w:cs="Arial"/>
          <w:b w:val="0"/>
          <w:bCs w:val="0"/>
          <w:color w:val="000000"/>
          <w:sz w:val="22"/>
          <w:szCs w:val="22"/>
        </w:rPr>
        <w:t>národnostní menšiny a ani dopady na životní prostředí.</w:t>
      </w:r>
    </w:p>
    <w:p w:rsidR="00440F11" w:rsidRPr="00167CEE" w:rsidRDefault="00440F11" w:rsidP="00440F11">
      <w:pPr>
        <w:widowControl w:val="0"/>
        <w:spacing w:before="120"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7CEE">
        <w:rPr>
          <w:rFonts w:ascii="Arial" w:hAnsi="Arial" w:cs="Arial"/>
          <w:b/>
          <w:color w:val="000000"/>
          <w:sz w:val="22"/>
          <w:szCs w:val="22"/>
          <w:u w:val="single"/>
        </w:rPr>
        <w:t>Zhodnocení současného stavu a dopadů navrhovaného řešení ve vztahu k zákazu diskriminace</w:t>
      </w:r>
    </w:p>
    <w:p w:rsidR="00440F11" w:rsidRPr="00167CEE" w:rsidRDefault="00440F11" w:rsidP="00440F11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167CEE">
        <w:rPr>
          <w:rFonts w:ascii="Arial" w:hAnsi="Arial" w:cs="Arial"/>
          <w:b w:val="0"/>
          <w:bCs w:val="0"/>
          <w:color w:val="000000"/>
          <w:sz w:val="22"/>
          <w:szCs w:val="22"/>
        </w:rPr>
        <w:t>Návrh vyhlášky nepředpokládá dopad na zákaz diskriminace ve smyslu zákona č. 198/2009 Sb., o rovném zacházení a o právních prostředcích ochrany před diskriminací a o změně některých zákonů (antidiskriminační zákon), ve znění pozdějších předpisů.</w:t>
      </w:r>
    </w:p>
    <w:p w:rsidR="00440F11" w:rsidRPr="00167CEE" w:rsidRDefault="00440F11" w:rsidP="00440F11">
      <w:pPr>
        <w:spacing w:before="120"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7CEE">
        <w:rPr>
          <w:rFonts w:ascii="Arial" w:hAnsi="Arial" w:cs="Arial"/>
          <w:b/>
          <w:color w:val="000000"/>
          <w:sz w:val="22"/>
          <w:szCs w:val="22"/>
          <w:u w:val="single"/>
        </w:rPr>
        <w:t>Zhodnocení dopadů navrhovaného řešení ve vztahu k ochraně soukromí a osobních údajů</w:t>
      </w:r>
    </w:p>
    <w:p w:rsidR="00440F11" w:rsidRPr="00167CEE" w:rsidRDefault="00440F11" w:rsidP="00440F11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167CEE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Návrh vyhlášky nepřijímá žádná opatření, ve kterých by bylo možné spatřovat potenciální rizika ve vztahu k soukromí a ochraně osobních údajů. Návrh vyhlášky nepřijímá žádná opatření, která by zakládala nové zpracování osobních údajů či měnila již existující zpracování osobních údajů. </w:t>
      </w:r>
    </w:p>
    <w:p w:rsidR="00440F11" w:rsidRPr="00167CEE" w:rsidRDefault="00440F11" w:rsidP="00440F11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167CEE">
        <w:rPr>
          <w:rFonts w:ascii="Arial" w:hAnsi="Arial" w:cs="Arial"/>
          <w:b w:val="0"/>
          <w:bCs w:val="0"/>
          <w:color w:val="000000"/>
          <w:sz w:val="22"/>
          <w:szCs w:val="22"/>
        </w:rPr>
        <w:t>Návrh vyhlášky není v rozporu s Úmluvou o ochraně osob se zřetelem na automatizované zpracování osobních dat (vyhlášené pod č. 115/2001 Sb. m. s.), směrnicí Evropského parlamentu a Rady 95/46/ES ze dne 24. října 1995 o ochraně jednotlivců v souvislosti se zpracováním osobních údajů a o volném pohybu těchto údajů, ani se zákonem č. 101/2000 Sb., o ochraně osobních údajů a o změně některých zákonů, ve znění pozdějších předpisů.</w:t>
      </w:r>
    </w:p>
    <w:p w:rsidR="00440F11" w:rsidRPr="00167CEE" w:rsidRDefault="00440F11" w:rsidP="00440F11">
      <w:pPr>
        <w:spacing w:before="120"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7CEE">
        <w:rPr>
          <w:rFonts w:ascii="Arial" w:hAnsi="Arial" w:cs="Arial"/>
          <w:b/>
          <w:color w:val="000000"/>
          <w:sz w:val="22"/>
          <w:szCs w:val="22"/>
          <w:u w:val="single"/>
        </w:rPr>
        <w:t>Zhodnocení korupčních rizik</w:t>
      </w:r>
    </w:p>
    <w:p w:rsidR="00440F11" w:rsidRPr="00167CEE" w:rsidRDefault="00440F11" w:rsidP="00440F11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167CEE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Návrh vyhlášky nepředpokládá žádná korupční rizika. </w:t>
      </w:r>
    </w:p>
    <w:p w:rsidR="00440F11" w:rsidRPr="00167CEE" w:rsidRDefault="00440F11" w:rsidP="00440F11">
      <w:pPr>
        <w:spacing w:before="120"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7CEE">
        <w:rPr>
          <w:rFonts w:ascii="Arial" w:hAnsi="Arial" w:cs="Arial"/>
          <w:b/>
          <w:color w:val="000000"/>
          <w:sz w:val="22"/>
          <w:szCs w:val="22"/>
          <w:u w:val="single"/>
        </w:rPr>
        <w:t>Vyjádření k RIA</w:t>
      </w:r>
    </w:p>
    <w:p w:rsidR="00440F11" w:rsidRPr="00167CEE" w:rsidRDefault="00440F11" w:rsidP="00440F11">
      <w:pPr>
        <w:spacing w:before="120" w:after="120"/>
        <w:ind w:firstLine="35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167CEE">
        <w:rPr>
          <w:rFonts w:ascii="Arial" w:hAnsi="Arial" w:cs="Arial"/>
          <w:color w:val="000000"/>
          <w:sz w:val="22"/>
          <w:szCs w:val="22"/>
        </w:rPr>
        <w:t>V souvislosti se zaslanou žádostí pod č.j. MF-39346/2015/5407 o povolení výjimky ze zpracování hodnocení dopadů regulace (RIA) k návrhu vyhlášky bylo rozhodnuto, že v případě návrhu vyhlášky nemusí být zpracováno hodnocení dopadů regulace (RIA), viz dopis ministra pro lidská práva, rovné příležitosti a legislativu Mgr. Jiřího Dienstbiera ze dne 16. září 2015 pod č.j. 14947/2015-OHR.</w:t>
      </w:r>
    </w:p>
    <w:p w:rsidR="00440F11" w:rsidRPr="00167CEE" w:rsidRDefault="00440F11" w:rsidP="00440F1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67CEE">
        <w:rPr>
          <w:rFonts w:ascii="Arial" w:hAnsi="Arial" w:cs="Arial"/>
          <w:b/>
          <w:sz w:val="22"/>
          <w:szCs w:val="22"/>
        </w:rPr>
        <w:br w:type="page"/>
      </w:r>
      <w:r w:rsidRPr="00167CEE">
        <w:rPr>
          <w:rFonts w:ascii="Arial" w:hAnsi="Arial" w:cs="Arial"/>
          <w:b/>
          <w:bCs/>
          <w:sz w:val="22"/>
          <w:szCs w:val="22"/>
        </w:rPr>
        <w:lastRenderedPageBreak/>
        <w:t>Zvláštní část</w:t>
      </w:r>
    </w:p>
    <w:p w:rsidR="00440F11" w:rsidRPr="00167CEE" w:rsidRDefault="00440F11" w:rsidP="00440F11">
      <w:pPr>
        <w:jc w:val="both"/>
        <w:rPr>
          <w:rFonts w:ascii="Arial" w:hAnsi="Arial" w:cs="Arial"/>
          <w:b/>
          <w:sz w:val="22"/>
          <w:szCs w:val="22"/>
        </w:rPr>
      </w:pPr>
    </w:p>
    <w:p w:rsidR="00440F11" w:rsidRPr="00167CEE" w:rsidRDefault="00440F11" w:rsidP="00440F11">
      <w:pPr>
        <w:jc w:val="both"/>
        <w:rPr>
          <w:rFonts w:ascii="Arial" w:hAnsi="Arial" w:cs="Arial"/>
          <w:b/>
          <w:sz w:val="22"/>
          <w:szCs w:val="22"/>
        </w:rPr>
      </w:pPr>
      <w:r w:rsidRPr="00167CEE">
        <w:rPr>
          <w:rFonts w:ascii="Arial" w:hAnsi="Arial" w:cs="Arial"/>
          <w:b/>
          <w:sz w:val="22"/>
          <w:szCs w:val="22"/>
        </w:rPr>
        <w:t>K Čl. I</w:t>
      </w:r>
    </w:p>
    <w:p w:rsidR="00440F11" w:rsidRPr="00167CEE" w:rsidRDefault="00440F11" w:rsidP="00440F11">
      <w:pPr>
        <w:keepNext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67CEE">
        <w:rPr>
          <w:rFonts w:ascii="Arial" w:hAnsi="Arial" w:cs="Arial"/>
          <w:b/>
          <w:sz w:val="22"/>
          <w:szCs w:val="22"/>
        </w:rPr>
        <w:t>K bodům 1, 9, 10, 11, 12, 13, 14, 15, 17, 20 (nadpis části druhé, nadpis části třetí, nadpis části čtvrté, nadpis § 17, nadpis § 18, nadpis § 19, nadpis § 21, nadpis § 22, nadpis § 24, nadpis § 25):</w:t>
      </w:r>
    </w:p>
    <w:p w:rsidR="00440F11" w:rsidRPr="00167CEE" w:rsidRDefault="00440F11" w:rsidP="00440F11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67CEE">
        <w:rPr>
          <w:rFonts w:ascii="Arial" w:hAnsi="Arial" w:cs="Arial"/>
          <w:sz w:val="22"/>
          <w:szCs w:val="22"/>
        </w:rPr>
        <w:t>Navrhuje se legislativně technická úprava zrušením nadbytečného textu v závorkách včetně závorek u nadpisů částí a paragrafů vyhlášky.</w:t>
      </w:r>
    </w:p>
    <w:p w:rsidR="00440F11" w:rsidRPr="00167CEE" w:rsidRDefault="00440F11" w:rsidP="00440F11">
      <w:pPr>
        <w:keepNext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167CEE">
        <w:rPr>
          <w:rFonts w:ascii="Arial" w:hAnsi="Arial" w:cs="Arial"/>
          <w:b/>
          <w:sz w:val="22"/>
          <w:szCs w:val="22"/>
        </w:rPr>
        <w:t>K bodům 2, 6, 7, 8, 16, 33 (§ 4 odst. 3, § 10 odst. 6, § 12 odst. 5, § 12 odst. 6, § 23 odst. 1, Příloha č. 6):</w:t>
      </w:r>
    </w:p>
    <w:p w:rsidR="00440F11" w:rsidRPr="00167CEE" w:rsidRDefault="00440F11" w:rsidP="00440F11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67CEE">
        <w:rPr>
          <w:rFonts w:ascii="Arial" w:hAnsi="Arial" w:cs="Arial"/>
          <w:sz w:val="22"/>
          <w:szCs w:val="22"/>
        </w:rPr>
        <w:t xml:space="preserve">Jedná se o legislativně technické úpravy v souvislosti se zákonem č. 221/2015 Sb. </w:t>
      </w:r>
    </w:p>
    <w:p w:rsidR="00440F11" w:rsidRPr="00167CEE" w:rsidRDefault="00440F11" w:rsidP="00440F11">
      <w:pPr>
        <w:keepNext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67CEE">
        <w:rPr>
          <w:rFonts w:ascii="Arial" w:hAnsi="Arial" w:cs="Arial"/>
          <w:sz w:val="22"/>
          <w:szCs w:val="22"/>
        </w:rPr>
        <w:t>V případě Přílohy č. 6 se jedná o legislativně technické úpravy v souvislosti se zákonem č. 221/2015 Sb. a vyhlášky č. 293/2014 Sb., kterou se mění vyhláška č. 500/2002 Sb., kterou se provádějí některá ustanovení zákona č. 563/1991 Sb., o účetnictví, ve znění pozdějších předpisů, pro účetní jednotky, které jsou podnikateli účtujícími v soustavě podvojného účetnictví, ve znění pozdějších předpisů, (dále jen „vyhláška č. 293/2014 Sb.“).</w:t>
      </w:r>
    </w:p>
    <w:p w:rsidR="00440F11" w:rsidRPr="00167CEE" w:rsidRDefault="00440F11" w:rsidP="00440F11">
      <w:pPr>
        <w:keepNext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167CEE">
        <w:rPr>
          <w:rFonts w:ascii="Arial" w:hAnsi="Arial" w:cs="Arial"/>
          <w:b/>
          <w:sz w:val="22"/>
          <w:szCs w:val="22"/>
        </w:rPr>
        <w:t>K bodům 3, 22, 23 až 28, 29 až 31 (§ 5 odst. 1, Příloha č. 1, Příloha č. 2, Příloha č. 3):</w:t>
      </w:r>
    </w:p>
    <w:p w:rsidR="00440F11" w:rsidRPr="00167CEE" w:rsidRDefault="00440F11" w:rsidP="00440F11">
      <w:pPr>
        <w:keepNext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67CEE">
        <w:rPr>
          <w:rFonts w:ascii="Arial" w:hAnsi="Arial" w:cs="Arial"/>
          <w:sz w:val="22"/>
          <w:szCs w:val="22"/>
        </w:rPr>
        <w:t>Zejména s ohledem na skutečnost, že pro obsahové vymezení položek výkazu zisku a ztráty zdravotní pojišťovny použijí přiměřeně ustanovení vyhlášky č. 502/2002 Sb., kterou se provádějí některá ustanovení zákona č. 563/1991 Sb., o účetnictví, ve znění pozdějších předpisů, pro účetní jednotky, které jsou pojišťovnami, ve znění pozdějších předpisů, je nezbytné provést legislativně technické úpravy v souvislosti s návrhem vyhlášky č. 502/2002 Sb., ve které jsou navrhovány terminologické změny v souladu se zákonem o pojišťovnictví (sněmovní tisk č. 414), kdy například termín „finanční umístění“ byl nahrazen termínem „investice“.</w:t>
      </w:r>
    </w:p>
    <w:p w:rsidR="00440F11" w:rsidRPr="00167CEE" w:rsidRDefault="00440F11" w:rsidP="00440F11">
      <w:pPr>
        <w:keepNext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67CEE">
        <w:rPr>
          <w:rFonts w:ascii="Arial" w:hAnsi="Arial" w:cs="Arial"/>
          <w:b/>
          <w:sz w:val="22"/>
          <w:szCs w:val="22"/>
        </w:rPr>
        <w:t>K bodům 4, 5 (§ 8 odst. 2 písm. d), § 8 odst. 2 písm. e)):</w:t>
      </w:r>
    </w:p>
    <w:p w:rsidR="00440F11" w:rsidRPr="00167CEE" w:rsidRDefault="00440F11" w:rsidP="00440F1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67CEE">
        <w:rPr>
          <w:rFonts w:ascii="Arial" w:hAnsi="Arial" w:cs="Arial"/>
          <w:sz w:val="22"/>
          <w:szCs w:val="22"/>
        </w:rPr>
        <w:t xml:space="preserve">V rámci dopracování, zpřesnění a podrobnějšího popisu problematiky práva stavby ve vyhlášce č. 293/2014 Sb. a s ohledem na skutečnost, že v </w:t>
      </w:r>
      <w:r w:rsidRPr="00167CEE">
        <w:rPr>
          <w:rFonts w:ascii="Arial" w:hAnsi="Arial" w:cs="Arial"/>
          <w:color w:val="000000"/>
          <w:sz w:val="22"/>
          <w:szCs w:val="22"/>
        </w:rPr>
        <w:t xml:space="preserve">podrobnostech obsahového vymezení složek dlouhodobého hmotného majetku a v podrobnostech obsahového vymezení nákladů souvisejících s pořízením dlouhodobého majetku, zásob a cenných papírů použijí zdravotní pojišťovny přiměřeně ustanovení vyhlášky č. 500/2002 Sb., kterou se provádějí některá ustanovení zákona č. 563/1991 Sb., o účetnictví, ve znění pozdějších předpisů, pro účetní jednotky, které jsou podnikateli účtujícími v soustavě podvojného účetnictví, ve znění pozdějších předpisů, </w:t>
      </w:r>
      <w:r w:rsidRPr="00167CEE">
        <w:rPr>
          <w:rFonts w:ascii="Arial" w:hAnsi="Arial" w:cs="Arial"/>
          <w:sz w:val="22"/>
          <w:szCs w:val="22"/>
        </w:rPr>
        <w:t>se navrhuje sledovat odděleně samotné „právo stavby“ a „stavbu“. Vychází se z úvahy, že právo stavby je specifickým hmotným aktivem, které lze pro účely účetnictví účtovat a odpisovat samostatně (tedy samostatně od stavby), ale vykazovat ho společně se stavbou v rámci položky „C.I.2 Stavby“.</w:t>
      </w:r>
    </w:p>
    <w:p w:rsidR="00440F11" w:rsidRPr="00167CEE" w:rsidRDefault="00440F11" w:rsidP="00440F1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67CEE">
        <w:rPr>
          <w:rFonts w:ascii="Arial" w:hAnsi="Arial" w:cs="Arial"/>
          <w:sz w:val="22"/>
          <w:szCs w:val="22"/>
        </w:rPr>
        <w:t>Navrhuje se za účelem zjednodušení, aby právo stavby bez ohledu na záměr jeho pořízení bylo vykazováno v položce „C.I.2. Stavby“. Tímto není dotčena možnost vykazovat právo stavby i v zásobách, bude-li to odpovídat obsahovému vymezení této položky. Podrobnější zdůvodnění úpravy práva stavby je uvedeno v odůvodnění k vyhlášce č. 293/2014 Sb.</w:t>
      </w:r>
    </w:p>
    <w:p w:rsidR="00440F11" w:rsidRPr="00167CEE" w:rsidRDefault="00440F11" w:rsidP="00440F11">
      <w:pPr>
        <w:jc w:val="both"/>
        <w:rPr>
          <w:rFonts w:ascii="Arial" w:hAnsi="Arial" w:cs="Arial"/>
          <w:sz w:val="22"/>
          <w:szCs w:val="22"/>
        </w:rPr>
      </w:pPr>
    </w:p>
    <w:p w:rsidR="00440F11" w:rsidRPr="00167CEE" w:rsidRDefault="00440F11" w:rsidP="00440F11">
      <w:pPr>
        <w:keepNext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167CEE">
        <w:rPr>
          <w:rFonts w:ascii="Arial" w:hAnsi="Arial" w:cs="Arial"/>
          <w:b/>
          <w:sz w:val="22"/>
          <w:szCs w:val="22"/>
        </w:rPr>
        <w:lastRenderedPageBreak/>
        <w:t>K bodu 18 (§ 24 odst. 3):</w:t>
      </w:r>
    </w:p>
    <w:p w:rsidR="00440F11" w:rsidRPr="00167CEE" w:rsidRDefault="00440F11" w:rsidP="00440F11">
      <w:pPr>
        <w:keepNext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67CEE">
        <w:rPr>
          <w:rFonts w:ascii="Arial" w:hAnsi="Arial" w:cs="Arial"/>
          <w:sz w:val="22"/>
          <w:szCs w:val="22"/>
        </w:rPr>
        <w:t xml:space="preserve">Navrhuje se v návaznosti na nový občanský zákoník zpřesnění stávajícího textu ustanovení § 24 odst. 3 vyhlášky. </w:t>
      </w:r>
    </w:p>
    <w:p w:rsidR="00440F11" w:rsidRPr="00167CEE" w:rsidRDefault="00440F11" w:rsidP="00440F11">
      <w:pPr>
        <w:keepNext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167CEE">
        <w:rPr>
          <w:rFonts w:ascii="Arial" w:hAnsi="Arial" w:cs="Arial"/>
          <w:b/>
          <w:sz w:val="22"/>
          <w:szCs w:val="22"/>
        </w:rPr>
        <w:t>K bodu 19 (§ 24 odst. 4):</w:t>
      </w:r>
    </w:p>
    <w:p w:rsidR="00440F11" w:rsidRPr="00167CEE" w:rsidRDefault="00440F11" w:rsidP="00440F11">
      <w:pPr>
        <w:keepNext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67CEE">
        <w:rPr>
          <w:rFonts w:ascii="Arial" w:hAnsi="Arial" w:cs="Arial"/>
          <w:sz w:val="22"/>
          <w:szCs w:val="22"/>
        </w:rPr>
        <w:t xml:space="preserve">Navrhuje se v souvislosti se zákonem č. 221/2015 Sb. (novelizované ustanovení § 7 odst. 6 zákona o účetnictví) omezit informace o vzájemném zúčtování uváděné v příloze v účetní závěrce s ohledem na významnost. </w:t>
      </w:r>
    </w:p>
    <w:p w:rsidR="00440F11" w:rsidRPr="00167CEE" w:rsidRDefault="00440F11" w:rsidP="00440F11">
      <w:pPr>
        <w:keepNext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167CEE">
        <w:rPr>
          <w:rFonts w:ascii="Arial" w:hAnsi="Arial" w:cs="Arial"/>
          <w:b/>
          <w:sz w:val="22"/>
          <w:szCs w:val="22"/>
        </w:rPr>
        <w:t xml:space="preserve">K bodu 21 (§ 25a odst. 1): </w:t>
      </w:r>
    </w:p>
    <w:p w:rsidR="00440F11" w:rsidRPr="00167CEE" w:rsidRDefault="00440F11" w:rsidP="00440F11">
      <w:pPr>
        <w:keepNext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67CEE">
        <w:rPr>
          <w:rFonts w:ascii="Arial" w:hAnsi="Arial" w:cs="Arial"/>
          <w:sz w:val="22"/>
          <w:szCs w:val="22"/>
        </w:rPr>
        <w:t>Jedná se o legislativně technickou úpravu, kdy v ustanovení § 25a vyhlášky týkajícího se účetní metody oceňování je uvedeno obsahové vymezení podmíněných aktiv a pasiv, přičemž obsahové vymezení informací o skutečnostech na podrozvahových účtech je uvedeno v ustanovení § 12a odst. 3 vyhlášky. Dále s ohledem na skutečnost, že uspořádání a označování položek části „A.4. Informace podle § 7 odst. 5 zákona o stavu účtů v knize podrozvahových účtů“ přílohy v účetní závěrce pro zdravotní pojišťovny není totožné s označováním a uspořádáním položek části „A.4. Infor</w:t>
      </w:r>
      <w:r w:rsidR="00167CEE">
        <w:rPr>
          <w:rFonts w:ascii="Arial" w:hAnsi="Arial" w:cs="Arial"/>
          <w:sz w:val="22"/>
          <w:szCs w:val="22"/>
        </w:rPr>
        <w:t>mace podle § 7 odst. 5 zákona o </w:t>
      </w:r>
      <w:r w:rsidRPr="00167CEE">
        <w:rPr>
          <w:rFonts w:ascii="Arial" w:hAnsi="Arial" w:cs="Arial"/>
          <w:sz w:val="22"/>
          <w:szCs w:val="22"/>
        </w:rPr>
        <w:t>stavu účtů v knize podrozvahových účtů“ přílohy v účetní závěrce pro některé vybrané účetní jednotky, nelze striktně dodržet obsahové vymezení podmíněných aktiv a pasiv podle vyhlášky č. 410/2009 Sb., kterou se provádějí některá ustanovení zákona č. 563/1991 Sb., o účetnictví, ve znění pozdějších předpisů, pro některé vybrané účetní jednotky, ve znění pozdějších předpisů.</w:t>
      </w:r>
    </w:p>
    <w:p w:rsidR="00440F11" w:rsidRPr="00167CEE" w:rsidRDefault="00440F11" w:rsidP="00440F11">
      <w:pPr>
        <w:keepNext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167CEE">
        <w:rPr>
          <w:rFonts w:ascii="Arial" w:hAnsi="Arial" w:cs="Arial"/>
          <w:b/>
          <w:sz w:val="22"/>
          <w:szCs w:val="22"/>
        </w:rPr>
        <w:t>K bodu 32 (Příloha č. 3):</w:t>
      </w:r>
    </w:p>
    <w:p w:rsidR="00440F11" w:rsidRPr="00167CEE" w:rsidRDefault="00440F11" w:rsidP="00440F11">
      <w:pPr>
        <w:keepNext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67CEE">
        <w:rPr>
          <w:rFonts w:ascii="Arial" w:hAnsi="Arial" w:cs="Arial"/>
          <w:sz w:val="22"/>
          <w:szCs w:val="22"/>
        </w:rPr>
        <w:t>V tomto bodu se navrhuje terminologická změna z „hospodářského výsledku“ na „výsledek hospodaření“.</w:t>
      </w:r>
    </w:p>
    <w:p w:rsidR="00440F11" w:rsidRPr="00167CEE" w:rsidRDefault="00440F11" w:rsidP="00440F11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167CEE">
        <w:rPr>
          <w:rFonts w:ascii="Arial" w:hAnsi="Arial" w:cs="Arial"/>
          <w:b/>
          <w:sz w:val="22"/>
          <w:szCs w:val="22"/>
        </w:rPr>
        <w:t>K Čl. II</w:t>
      </w:r>
    </w:p>
    <w:p w:rsidR="00440F11" w:rsidRPr="00167CEE" w:rsidRDefault="00440F11" w:rsidP="00440F1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67CEE">
        <w:rPr>
          <w:rFonts w:ascii="Arial" w:hAnsi="Arial" w:cs="Arial"/>
          <w:sz w:val="22"/>
          <w:szCs w:val="22"/>
        </w:rPr>
        <w:t>Navrhovaná ustanovení použijí vybrané účetní jednotky poprvé v účetním období započatém dne 1. ledna 2016 a později.</w:t>
      </w:r>
    </w:p>
    <w:p w:rsidR="00440F11" w:rsidRPr="00167CEE" w:rsidRDefault="00440F11" w:rsidP="00440F11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167CEE">
        <w:rPr>
          <w:rFonts w:ascii="Arial" w:hAnsi="Arial" w:cs="Arial"/>
          <w:b/>
          <w:sz w:val="22"/>
          <w:szCs w:val="22"/>
        </w:rPr>
        <w:t>K Čl. III</w:t>
      </w:r>
    </w:p>
    <w:p w:rsidR="00440F11" w:rsidRPr="00167CEE" w:rsidRDefault="00440F11" w:rsidP="00440F1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67CEE">
        <w:rPr>
          <w:rFonts w:ascii="Arial" w:hAnsi="Arial" w:cs="Arial"/>
          <w:sz w:val="22"/>
          <w:szCs w:val="22"/>
        </w:rPr>
        <w:t>Účinnost vyhlášky je navrhována dnem 1. ledna 2016.</w:t>
      </w:r>
    </w:p>
    <w:p w:rsidR="00F915A2" w:rsidRPr="00167CEE" w:rsidRDefault="00F915A2" w:rsidP="00440F11">
      <w:pPr>
        <w:rPr>
          <w:rFonts w:ascii="Arial" w:hAnsi="Arial" w:cs="Arial"/>
          <w:sz w:val="22"/>
          <w:szCs w:val="22"/>
        </w:rPr>
      </w:pPr>
    </w:p>
    <w:sectPr w:rsidR="00F915A2" w:rsidRPr="00167CEE" w:rsidSect="00AE656A">
      <w:footerReference w:type="default" r:id="rId8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B8" w:rsidRDefault="00AD27B8">
      <w:r>
        <w:separator/>
      </w:r>
    </w:p>
  </w:endnote>
  <w:endnote w:type="continuationSeparator" w:id="0">
    <w:p w:rsidR="00AD27B8" w:rsidRDefault="00AD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BF" w:rsidRDefault="00EB596A">
    <w:pPr>
      <w:pStyle w:val="Zpat"/>
    </w:pP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716D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B8" w:rsidRDefault="00AD27B8">
      <w:r>
        <w:separator/>
      </w:r>
    </w:p>
  </w:footnote>
  <w:footnote w:type="continuationSeparator" w:id="0">
    <w:p w:rsidR="00AD27B8" w:rsidRDefault="00AD2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D796D"/>
    <w:multiLevelType w:val="hybridMultilevel"/>
    <w:tmpl w:val="397A8A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6A"/>
    <w:rsid w:val="00024B2C"/>
    <w:rsid w:val="00120B69"/>
    <w:rsid w:val="00167CEE"/>
    <w:rsid w:val="001D71BB"/>
    <w:rsid w:val="00220607"/>
    <w:rsid w:val="003716D4"/>
    <w:rsid w:val="003B7801"/>
    <w:rsid w:val="00434110"/>
    <w:rsid w:val="00440F11"/>
    <w:rsid w:val="006C1D67"/>
    <w:rsid w:val="007F1D9A"/>
    <w:rsid w:val="008247DA"/>
    <w:rsid w:val="00915841"/>
    <w:rsid w:val="00AA1F8F"/>
    <w:rsid w:val="00AD27B8"/>
    <w:rsid w:val="00AE656A"/>
    <w:rsid w:val="00CA2B22"/>
    <w:rsid w:val="00EB596A"/>
    <w:rsid w:val="00F9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596A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596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B59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59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B5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596A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596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B59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59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B5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1526</Words>
  <Characters>9010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Kortanová Nikola Bc.</dc:creator>
  <cp:lastModifiedBy>KACR - Pavla Psenickova</cp:lastModifiedBy>
  <cp:revision>2</cp:revision>
  <cp:lastPrinted>2015-09-23T15:24:00Z</cp:lastPrinted>
  <dcterms:created xsi:type="dcterms:W3CDTF">2015-10-06T06:06:00Z</dcterms:created>
  <dcterms:modified xsi:type="dcterms:W3CDTF">2015-10-06T06:06:00Z</dcterms:modified>
</cp:coreProperties>
</file>